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E5CF17">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0" w:lineRule="exact"/>
        <w:jc w:val="center"/>
        <w:textAlignment w:val="auto"/>
        <w:outlineLvl w:val="0"/>
        <w:rPr>
          <w:rFonts w:hint="eastAsia" w:ascii="方正小标宋简体" w:hAnsi="方正小标宋简体" w:eastAsia="方正小标宋简体" w:cs="方正小标宋简体"/>
          <w:b w:val="0"/>
          <w:bCs w:val="0"/>
          <w:kern w:val="44"/>
          <w:sz w:val="44"/>
          <w:szCs w:val="32"/>
          <w:lang w:val="en-US" w:eastAsia="zh-CN" w:bidi="ar-SA"/>
        </w:rPr>
      </w:pPr>
      <w:r>
        <w:rPr>
          <w:rFonts w:hint="eastAsia" w:ascii="方正小标宋简体" w:hAnsi="方正小标宋简体" w:eastAsia="方正小标宋简体" w:cs="方正小标宋简体"/>
          <w:b w:val="0"/>
          <w:bCs w:val="0"/>
          <w:kern w:val="44"/>
          <w:sz w:val="44"/>
          <w:szCs w:val="32"/>
          <w:lang w:val="en-US" w:eastAsia="zh-CN" w:bidi="ar-SA"/>
        </w:rPr>
        <w:t>2025厦门工学院体育文化节</w:t>
      </w:r>
    </w:p>
    <w:p w14:paraId="731D20F5">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0" w:lineRule="exact"/>
        <w:jc w:val="center"/>
        <w:textAlignment w:val="auto"/>
        <w:outlineLvl w:val="0"/>
        <w:rPr>
          <w:rFonts w:hint="eastAsia" w:ascii="方正小标宋简体" w:hAnsi="方正小标宋简体" w:eastAsia="方正小标宋简体" w:cs="方正小标宋简体"/>
          <w:b w:val="0"/>
          <w:bCs w:val="0"/>
          <w:kern w:val="44"/>
          <w:sz w:val="44"/>
          <w:szCs w:val="32"/>
          <w:lang w:val="en-US" w:eastAsia="zh-CN" w:bidi="ar-SA"/>
        </w:rPr>
      </w:pPr>
      <w:r>
        <w:rPr>
          <w:rFonts w:hint="eastAsia" w:ascii="方正小标宋简体" w:hAnsi="方正小标宋简体" w:eastAsia="方正小标宋简体" w:cs="方正小标宋简体"/>
          <w:b w:val="0"/>
          <w:bCs w:val="0"/>
          <w:kern w:val="44"/>
          <w:sz w:val="44"/>
          <w:szCs w:val="32"/>
          <w:lang w:val="en-US" w:eastAsia="zh-CN" w:bidi="ar-SA"/>
        </w:rPr>
        <w:t>乒乓球竞赛规程</w:t>
      </w:r>
    </w:p>
    <w:p w14:paraId="12D975CF">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0" w:lineRule="exact"/>
        <w:jc w:val="center"/>
        <w:textAlignment w:val="auto"/>
        <w:outlineLvl w:val="0"/>
        <w:rPr>
          <w:rFonts w:hint="eastAsia" w:ascii="方正小标宋简体" w:hAnsi="方正小标宋简体" w:eastAsia="方正小标宋简体" w:cs="方正小标宋简体"/>
          <w:b w:val="0"/>
          <w:bCs w:val="0"/>
          <w:kern w:val="44"/>
          <w:sz w:val="44"/>
          <w:szCs w:val="32"/>
          <w:lang w:val="en-US" w:eastAsia="zh-CN" w:bidi="ar-SA"/>
        </w:rPr>
      </w:pPr>
    </w:p>
    <w:p w14:paraId="3FF5C80A">
      <w:pPr>
        <w:pStyle w:val="3"/>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textAlignment w:val="auto"/>
        <w:rPr>
          <w:rFonts w:hint="eastAsia"/>
        </w:rPr>
      </w:pPr>
      <w:r>
        <w:rPr>
          <w:rFonts w:hint="eastAsia"/>
        </w:rPr>
        <w:t>一、活动目的</w:t>
      </w:r>
    </w:p>
    <w:p w14:paraId="1244EEDA">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为加强学生体</w:t>
      </w:r>
      <w:r>
        <w:rPr>
          <w:rFonts w:hint="eastAsia" w:ascii="仿宋_GB2312" w:hAnsi="仿宋_GB2312" w:eastAsia="仿宋_GB2312" w:cs="仿宋_GB2312"/>
          <w:lang w:val="en-US" w:eastAsia="zh-CN"/>
        </w:rPr>
        <w:t>商</w:t>
      </w:r>
      <w:r>
        <w:rPr>
          <w:rFonts w:hint="eastAsia" w:ascii="仿宋_GB2312" w:hAnsi="仿宋_GB2312" w:eastAsia="仿宋_GB2312" w:cs="仿宋_GB2312"/>
        </w:rPr>
        <w:t>建设，丰富学生课余文化生活，培养学生的团结合作意识与集体荣誉感，希望通过此活动，能使各年级学生得到一次切磋球技的机会，让学生在学习之余交流友谊、增进感情。</w:t>
      </w:r>
    </w:p>
    <w:p w14:paraId="4E13597B">
      <w:pPr>
        <w:pStyle w:val="3"/>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70" w:lineRule="exact"/>
        <w:ind w:firstLine="640" w:firstLineChars="200"/>
        <w:textAlignment w:val="auto"/>
        <w:rPr>
          <w:rFonts w:hint="eastAsia"/>
        </w:rPr>
      </w:pPr>
      <w:r>
        <w:rPr>
          <w:rFonts w:hint="eastAsia"/>
          <w:lang w:val="en-US" w:eastAsia="zh-CN"/>
        </w:rPr>
        <w:t>主办单位</w:t>
      </w:r>
      <w:r>
        <w:rPr>
          <w:rFonts w:hint="eastAsia" w:ascii="黑体" w:hAnsi="黑体" w:eastAsia="黑体" w:cs="黑体"/>
          <w:lang w:val="en-US" w:eastAsia="zh-CN"/>
        </w:rPr>
        <w:t>、</w:t>
      </w:r>
      <w:r>
        <w:rPr>
          <w:rStyle w:val="9"/>
          <w:rFonts w:hint="eastAsia" w:ascii="黑体" w:hAnsi="黑体" w:eastAsia="黑体" w:cs="黑体"/>
          <w:lang w:val="en-US" w:eastAsia="zh-CN"/>
        </w:rPr>
        <w:t>承办单位</w:t>
      </w:r>
    </w:p>
    <w:p w14:paraId="0B6901F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lang w:val="en-US" w:eastAsia="zh-CN"/>
        </w:rPr>
        <w:t>主办单位：</w:t>
      </w:r>
      <w:r>
        <w:rPr>
          <w:rFonts w:hint="eastAsia" w:ascii="仿宋_GB2312" w:hAnsi="仿宋_GB2312" w:eastAsia="仿宋_GB2312" w:cs="仿宋_GB2312"/>
        </w:rPr>
        <w:t>厦门工学院</w:t>
      </w:r>
      <w:r>
        <w:rPr>
          <w:rFonts w:hint="eastAsia" w:ascii="仿宋_GB2312" w:hAnsi="仿宋_GB2312" w:eastAsia="仿宋_GB2312" w:cs="仿宋_GB2312"/>
          <w:lang w:val="en-US" w:eastAsia="zh-CN"/>
        </w:rPr>
        <w:t>体育部、</w:t>
      </w:r>
      <w:r>
        <w:rPr>
          <w:rFonts w:hint="eastAsia" w:ascii="仿宋_GB2312" w:hAnsi="仿宋_GB2312" w:eastAsia="仿宋_GB2312" w:cs="仿宋_GB2312"/>
        </w:rPr>
        <w:t>厦门工学</w:t>
      </w:r>
      <w:r>
        <w:rPr>
          <w:rFonts w:hint="eastAsia" w:ascii="仿宋_GB2312" w:hAnsi="仿宋_GB2312" w:eastAsia="仿宋_GB2312" w:cs="仿宋_GB2312"/>
          <w:lang w:val="en-US" w:eastAsia="zh-CN"/>
        </w:rPr>
        <w:t>院学生与安全处</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校团委</w:t>
      </w:r>
    </w:p>
    <w:p w14:paraId="44866CA5">
      <w:pPr>
        <w:keepNext w:val="0"/>
        <w:keepLines w:val="0"/>
        <w:pageBreakBefore w:val="0"/>
        <w:widowControl w:val="0"/>
        <w:kinsoku/>
        <w:wordWrap/>
        <w:overflowPunct/>
        <w:topLinePunct w:val="0"/>
        <w:autoSpaceDE/>
        <w:autoSpaceDN/>
        <w:bidi w:val="0"/>
        <w:adjustRightInd w:val="0"/>
        <w:snapToGrid/>
        <w:spacing w:beforeAutospacing="0" w:afterAutospacing="0"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承办单位：</w:t>
      </w:r>
      <w:r>
        <w:rPr>
          <w:rFonts w:hint="eastAsia" w:ascii="仿宋_GB2312" w:hAnsi="仿宋_GB2312" w:eastAsia="仿宋_GB2312" w:cs="仿宋_GB2312"/>
        </w:rPr>
        <w:t>厦门工学院</w:t>
      </w:r>
      <w:r>
        <w:rPr>
          <w:rFonts w:hint="eastAsia" w:ascii="仿宋_GB2312" w:hAnsi="仿宋_GB2312" w:eastAsia="仿宋_GB2312" w:cs="仿宋_GB2312"/>
          <w:lang w:eastAsia="zh-CN"/>
        </w:rPr>
        <w:t>社团</w:t>
      </w:r>
      <w:r>
        <w:rPr>
          <w:rFonts w:hint="eastAsia" w:ascii="仿宋_GB2312" w:hAnsi="仿宋_GB2312" w:eastAsia="仿宋_GB2312" w:cs="仿宋_GB2312"/>
          <w:lang w:val="en-US" w:eastAsia="zh-CN"/>
        </w:rPr>
        <w:t>办公室</w:t>
      </w:r>
    </w:p>
    <w:p w14:paraId="7705E1FB">
      <w:pPr>
        <w:keepNext w:val="0"/>
        <w:keepLines w:val="0"/>
        <w:pageBreakBefore w:val="0"/>
        <w:widowControl w:val="0"/>
        <w:kinsoku/>
        <w:wordWrap/>
        <w:overflowPunct/>
        <w:topLinePunct w:val="0"/>
        <w:autoSpaceDE/>
        <w:autoSpaceDN/>
        <w:bidi w:val="0"/>
        <w:adjustRightInd w:val="0"/>
        <w:snapToGrid/>
        <w:spacing w:beforeAutospacing="0" w:afterAutospacing="0" w:line="570" w:lineRule="exact"/>
        <w:ind w:firstLine="640" w:firstLineChars="200"/>
        <w:textAlignment w:val="auto"/>
        <w:rPr>
          <w:rFonts w:hint="default" w:ascii="仿宋_GB2312" w:hAnsi="仿宋_GB2312" w:eastAsia="仿宋_GB2312" w:cs="仿宋_GB2312"/>
          <w:lang w:val="en-US"/>
        </w:rPr>
      </w:pPr>
      <w:r>
        <w:rPr>
          <w:rFonts w:hint="eastAsia" w:ascii="仿宋_GB2312" w:hAnsi="仿宋_GB2312" w:eastAsia="仿宋_GB2312" w:cs="仿宋_GB2312"/>
          <w:lang w:val="en-US" w:eastAsia="zh-CN"/>
        </w:rPr>
        <w:t>协办单位：厦门工学院校乒乓球社</w:t>
      </w:r>
    </w:p>
    <w:p w14:paraId="0FCA962D">
      <w:pPr>
        <w:pStyle w:val="3"/>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textAlignment w:val="auto"/>
        <w:rPr>
          <w:rFonts w:hint="eastAsia"/>
          <w:lang w:val="en-US" w:eastAsia="zh-CN"/>
        </w:rPr>
      </w:pPr>
      <w:r>
        <w:rPr>
          <w:rFonts w:hint="eastAsia"/>
          <w:lang w:val="en-US" w:eastAsia="zh-CN"/>
        </w:rPr>
        <w:t>三</w:t>
      </w:r>
      <w:r>
        <w:rPr>
          <w:rFonts w:hint="eastAsia"/>
        </w:rPr>
        <w:t>、</w:t>
      </w:r>
      <w:r>
        <w:rPr>
          <w:rFonts w:hint="eastAsia"/>
          <w:lang w:val="en-US" w:eastAsia="zh-CN"/>
        </w:rPr>
        <w:t>报名流程</w:t>
      </w:r>
    </w:p>
    <w:p w14:paraId="301715A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0" w:leftChars="0" w:firstLine="643" w:firstLineChars="200"/>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kern w:val="2"/>
          <w:sz w:val="32"/>
          <w:szCs w:val="32"/>
          <w:lang w:val="en-US" w:eastAsia="zh-CN" w:bidi="ar-SA"/>
        </w:rPr>
        <w:t>（一）</w:t>
      </w:r>
      <w:r>
        <w:rPr>
          <w:rFonts w:hint="eastAsia" w:ascii="楷体" w:hAnsi="楷体" w:eastAsia="楷体" w:cs="楷体"/>
          <w:b/>
          <w:bCs/>
          <w:lang w:val="en-US" w:eastAsia="zh-CN"/>
        </w:rPr>
        <w:t>以学院为单位报名双打比赛，每队限2人，每个学院限报3队，男子女子分开（大一融新学院限6队）。单打比赛自由报名，每个学院不限人数，无论运动员以何种方式知晓此次比赛，单打双打均需要填写电子报名表，主办方未收到参赛运动员的报名表的一律视为未参赛。</w:t>
      </w:r>
    </w:p>
    <w:p w14:paraId="587953F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0" w:leftChars="0" w:firstLine="643" w:firstLineChars="200"/>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kern w:val="2"/>
          <w:sz w:val="32"/>
          <w:szCs w:val="32"/>
          <w:lang w:val="en-US" w:eastAsia="zh-CN" w:bidi="ar-SA"/>
        </w:rPr>
        <w:t>（二）</w:t>
      </w:r>
      <w:r>
        <w:rPr>
          <w:rFonts w:hint="eastAsia" w:ascii="楷体" w:hAnsi="楷体" w:eastAsia="楷体" w:cs="楷体"/>
          <w:b/>
          <w:bCs/>
          <w:lang w:val="en-US" w:eastAsia="zh-CN"/>
        </w:rPr>
        <w:t>比赛时间</w:t>
      </w:r>
    </w:p>
    <w:p w14:paraId="46BDB4C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2025年11月1日-2日（按报名人数决定比赛日安排） </w:t>
      </w:r>
    </w:p>
    <w:p w14:paraId="08DBE71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报名截止时间：即日起至2025年10月19日</w:t>
      </w:r>
    </w:p>
    <w:p w14:paraId="3341120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0" w:leftChars="0" w:firstLine="643"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kern w:val="2"/>
          <w:sz w:val="32"/>
          <w:szCs w:val="32"/>
          <w:lang w:val="en-US" w:eastAsia="zh-CN" w:bidi="ar-SA"/>
        </w:rPr>
        <w:t>（三）</w:t>
      </w:r>
      <w:bookmarkStart w:id="30" w:name="_GoBack"/>
      <w:r>
        <w:rPr>
          <w:rFonts w:hint="eastAsia" w:ascii="楷体" w:hAnsi="楷体" w:eastAsia="楷体" w:cs="楷体"/>
          <w:b/>
          <w:bCs/>
        </w:rPr>
        <w:t>比赛形式</w:t>
      </w:r>
      <w:bookmarkEnd w:id="30"/>
    </w:p>
    <w:p w14:paraId="04E6732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比赛分女子单打，男子单打，男子双打和女子双打（限性别）四个项目。</w:t>
      </w:r>
    </w:p>
    <w:p w14:paraId="7E99AD15">
      <w:pPr>
        <w:pStyle w:val="3"/>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rPr>
      </w:pPr>
      <w:r>
        <w:rPr>
          <w:rFonts w:hint="eastAsia"/>
          <w:lang w:val="en-US" w:eastAsia="zh-CN"/>
        </w:rPr>
        <w:t>四</w:t>
      </w:r>
      <w:r>
        <w:rPr>
          <w:rFonts w:hint="eastAsia"/>
        </w:rPr>
        <w:t>、比赛规则</w:t>
      </w:r>
    </w:p>
    <w:p w14:paraId="49D8544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rPr>
        <w:t>比赛统一采用11分制.具体比赛规则参看国家体育总局审定的最新乒乓球竞赛规则。比赛球拍由选手自己携带,比赛用球由</w:t>
      </w:r>
      <w:r>
        <w:rPr>
          <w:rFonts w:hint="eastAsia" w:ascii="仿宋_GB2312" w:hAnsi="仿宋_GB2312" w:eastAsia="仿宋_GB2312" w:cs="仿宋_GB2312"/>
          <w:lang w:val="en-US" w:eastAsia="zh-CN"/>
        </w:rPr>
        <w:t>主办方提供。</w:t>
      </w:r>
    </w:p>
    <w:p w14:paraId="4571BCBB">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球台</w:t>
      </w:r>
    </w:p>
    <w:p w14:paraId="7F7868A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1.1.1球台的上层表面叫做比赛台面，应为与</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"https://baike.baidu.com/item/%E6%B0%B4%E5%B9%B3%E9%9D%A2/7958825?fromModule=lemma_inlink"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水平面</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平行的长方形，长2.74米，宽1.525米，由地面向上至台面高76厘米。</w:t>
      </w:r>
    </w:p>
    <w:p w14:paraId="35F5638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1.1.2比赛台面不包括球台台面的侧面。</w:t>
      </w:r>
    </w:p>
    <w:p w14:paraId="50916FB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1.1.3比赛台面可用任何材料制成，应具有一致的弹性，即当标准球从离台面30厘米高处落至台面时，弹起高度应约为23厘米。</w:t>
      </w:r>
    </w:p>
    <w:p w14:paraId="3AC186C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1.1.4比赛台面应呈均匀的暗色，无光泽，沿每个2.74米的比赛台面边缘各有一条2厘米宽的白色边线，沿每个1.525米的比赛台面边缘各有一条2厘米宽的白色端线。</w:t>
      </w:r>
    </w:p>
    <w:p w14:paraId="1D639B6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1.1.5比赛台面由一个与</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"https://baike.baidu.com/item/%E7%AB%AF%E7%BA%BF/9851411?fromModule=lemma_inlink"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端线</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平行并与比赛台面垂直的球网划分为两个相等的台区，各台区的整个面积应是一个整体。</w:t>
      </w:r>
    </w:p>
    <w:p w14:paraId="5E6763D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i w:val="0"/>
          <w:iCs w:val="0"/>
          <w:caps w:val="0"/>
          <w:color w:val="auto"/>
          <w:spacing w:val="0"/>
          <w:szCs w:val="24"/>
        </w:rPr>
      </w:pPr>
      <w:r>
        <w:rPr>
          <w:rFonts w:hint="eastAsia" w:ascii="仿宋_GB2312" w:hAnsi="仿宋_GB2312" w:eastAsia="仿宋_GB2312" w:cs="仿宋_GB2312"/>
          <w:lang w:val="en-US" w:eastAsia="zh-CN"/>
        </w:rPr>
        <w:t>1.1.6双打时,各台区应由一条3毫米宽的白色中线,划分为两个相等的“半区”。中线与边线平行，并应视为右半区的一部分</w:t>
      </w:r>
      <w:r>
        <w:rPr>
          <w:rFonts w:hint="eastAsia" w:ascii="仿宋_GB2312" w:hAnsi="仿宋_GB2312" w:eastAsia="仿宋_GB2312" w:cs="仿宋_GB2312"/>
          <w:i w:val="0"/>
          <w:iCs w:val="0"/>
          <w:caps w:val="0"/>
          <w:color w:val="auto"/>
          <w:spacing w:val="0"/>
          <w:kern w:val="0"/>
          <w:szCs w:val="24"/>
          <w:shd w:val="clear" w:fill="FFFFFF"/>
          <w:lang w:val="en-US" w:eastAsia="zh-CN" w:bidi="ar"/>
        </w:rPr>
        <w:t>。</w:t>
      </w:r>
    </w:p>
    <w:p w14:paraId="5FE1F18D">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0" w:name="2"/>
      <w:bookmarkEnd w:id="0"/>
      <w:bookmarkStart w:id="1" w:name="球网装置"/>
      <w:bookmarkEnd w:id="1"/>
      <w:r>
        <w:rPr>
          <w:rFonts w:hint="eastAsia" w:ascii="仿宋_GB2312" w:hAnsi="仿宋_GB2312" w:eastAsia="仿宋_GB2312" w:cs="仿宋_GB2312"/>
        </w:rPr>
        <w:t>球网装置</w:t>
      </w:r>
    </w:p>
    <w:p w14:paraId="34AD8545">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1.2.1球网装置包括球网、悬网绳、网柱及将它们固定在球台上的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"https://baike.baidu.com/item/%E5%A4%B9%E9%92%B3/11019118?fromModule=lemma_inlink"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夹钳</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部分。</w:t>
      </w:r>
    </w:p>
    <w:p w14:paraId="02305EA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1.2.2球网应悬挂在一根绳子上,绳子两端系在高15.25厘米的直立网柱上,网柱外缘离开边线外缘的距离为15.25厘米。</w:t>
      </w:r>
    </w:p>
    <w:p w14:paraId="216B419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1.2.3整个球网的顶端距离比赛台面15.25厘米。</w:t>
      </w:r>
    </w:p>
    <w:p w14:paraId="7C831C5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1.2.4整个球网的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"https://baike.baidu.com/item/%E5%BA%95%E8%BE%B9/755766?fromModule=lemma_inlink"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底边</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应尽量贴近比赛台面，其两端应尽量贴近网柱。</w:t>
      </w:r>
    </w:p>
    <w:p w14:paraId="3857A176">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2" w:name="3"/>
      <w:bookmarkEnd w:id="2"/>
      <w:bookmarkStart w:id="3" w:name="球"/>
      <w:bookmarkEnd w:id="3"/>
      <w:r>
        <w:rPr>
          <w:rFonts w:hint="eastAsia" w:ascii="仿宋_GB2312" w:hAnsi="仿宋_GB2312" w:eastAsia="仿宋_GB2312" w:cs="仿宋_GB2312"/>
          <w:lang w:val="en-US" w:eastAsia="zh-CN"/>
        </w:rPr>
        <w:t>比赛用</w:t>
      </w:r>
      <w:r>
        <w:rPr>
          <w:rFonts w:hint="eastAsia" w:ascii="仿宋_GB2312" w:hAnsi="仿宋_GB2312" w:eastAsia="仿宋_GB2312" w:cs="仿宋_GB2312"/>
        </w:rPr>
        <w:t>球</w:t>
      </w:r>
    </w:p>
    <w:p w14:paraId="6D668B8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1.3.1球应为</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"https://baike.baidu.com/item/%E5%9C%86%E7%90%83%E4%BD%93/7911315?fromModule=lemma_inlink"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圆球体</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，直径为40+（40.0-40.6毫米）</w:t>
      </w:r>
    </w:p>
    <w:p w14:paraId="51AF2C1E">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1.3.2球重2.7克。</w:t>
      </w:r>
    </w:p>
    <w:p w14:paraId="0CE2318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1.3.3球</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"https://baike.baidu.com/item/%E5%BA%94%E7%94%A8%E5%A1%91%E6%96%99/15093714?fromModule=lemma_inlink"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应用塑料</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或类似的材料制成,呈白色、黄色或橙色，且无光泽。（原来是用</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"https://baike.baidu.com/item/%E8%B5%9B%E7%92%90%E7%92%90/8541066?fromModule=lemma_inlink"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赛璐璐</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制，但是赛璐璐做的球易燃，且有毒，所以改了）</w:t>
      </w:r>
    </w:p>
    <w:p w14:paraId="472FE6B1">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4" w:name="4"/>
      <w:bookmarkEnd w:id="4"/>
      <w:bookmarkStart w:id="5" w:name="球拍"/>
      <w:bookmarkEnd w:id="5"/>
      <w:r>
        <w:rPr>
          <w:rFonts w:hint="eastAsia" w:ascii="仿宋_GB2312" w:hAnsi="仿宋_GB2312" w:eastAsia="仿宋_GB2312" w:cs="仿宋_GB2312"/>
        </w:rPr>
        <w:t>球拍</w:t>
      </w:r>
    </w:p>
    <w:p w14:paraId="54A43CB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1.4.1球拍的大小，形状和重量不限，但底板应平整、坚硬。</w:t>
      </w:r>
    </w:p>
    <w:p w14:paraId="11D2FCA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1.4.2底板厚度至少应有85%的天然木料，加强底板的粘合层可用诸如</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"https://baike.baidu.com/item/%E7%A2%B3%E7%BA%A4%E7%BB%B4/1492681?fromModule=lemma_inlink"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碳纤维</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"https://baike.baidu.com/item/%E7%8E%BB%E7%92%83%E7%BA%A4%E7%BB%B4/1667820?fromModule=lemma_inlink"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玻璃纤维</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或压缩纸等</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"https://baike.baidu.com/item/%E7%BA%A4%E7%BB%B4%E6%9D%90%E6%96%99/1146674?fromModule=lemma_inlink"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纤维材料</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，每层粘合层不超过底板总厚度的7.5%或0.35毫米。</w:t>
      </w:r>
    </w:p>
    <w:p w14:paraId="09EC882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1.4.3用来击球的拍面应用一层颗粒向外的普通颗粒胶覆盖，连同</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"https://baike.baidu.com/item/%E7%B2%98%E5%90%88%E5%89%82/3705684?fromModule=lemma_inlink"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粘合剂</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厚度不超过2毫米；或用颗粒向内或向外的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"https://baike.baidu.com/item/%E6%B5%B7%E7%BB%B5%E8%83%B6/4680807?fromModule=lemma_inlink"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海绵胶</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覆盖，连同粘合剂，厚度不超过4毫米。</w:t>
      </w:r>
    </w:p>
    <w:p w14:paraId="281B5DE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1.4.3.1”普通颗粒胶”是一层无泡沫的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"https://baike.baidu.com/item/%E5%A4%A9%E7%84%B6%E6%A9%A1%E8%83%B6/837440?fromModule=lemma_inlink"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天然橡胶</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或</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"https://baike.baidu.com/item/%E5%90%88%E6%88%90%E6%A9%A1%E8%83%B6/828950?fromModule=lemma_inlink"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合成橡胶</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，其颗粒必须以每</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"https://baike.baidu.com/item/%E5%B9%B3%E6%96%B9%E5%8E%98%E7%B1%B3/1105767?fromModule=lemma_inlink"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平方厘米</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不少于10颗，不多于50颗的平均</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"https://baike.baidu.com/item/%E5%AF%86%E5%BA%A6%E5%88%86%E5%B8%83/12721266?fromModule=lemma_inlink"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密度分布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整个表面。</w:t>
      </w:r>
    </w:p>
    <w:p w14:paraId="6F305C1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1.4.3.2"海绵胶"即在一层</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"https://baike.baidu.com/item/%E6%B3%A1%E6%B2%AB%E6%A9%A1%E8%83%B6/674794?fromModule=lemma_inlink"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泡沫橡胶</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上覆盖一层普通颗粒胶，普遍颗粒胶的厚度不超过2毫米。</w:t>
      </w:r>
    </w:p>
    <w:p w14:paraId="338699F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乒乓球比赛规则</w:t>
      </w:r>
    </w:p>
    <w:p w14:paraId="14D5476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1.4.4覆盖物应覆盖整个拍面，但不得超过其边缘。靠近拍柄部分以及手指执握部分可不予以覆盖，也不可用任何材料覆盖。</w:t>
      </w:r>
    </w:p>
    <w:p w14:paraId="7D7CC11F">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1.4.5底板、底板中的任何夹层、覆盖物以及粘合层均应为厚度均匀的一个整体。</w:t>
      </w:r>
    </w:p>
    <w:p w14:paraId="4CA8A13E">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1.4.6球拍两面不论是否有覆盖物，必须无光泽，且两面颜色不同。拍身边缘上的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"https://baike.baidu.com/item/%E5%8C%85%E8%BE%B9/6515498?fromModule=lemma_inlink"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包边</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应无光泽，不得呈白色。</w:t>
      </w:r>
    </w:p>
    <w:p w14:paraId="7B3F1C9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1.4.7由于意外的损坏、磨损或褪色，造成拍面的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"https://baike.baidu.com/item/%E6%95%B4%E4%BD%93%E6%80%A7/22277181?fromModule=lemma_inlink"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整体性</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和颜色上的一致性出现轻微的差异。只要未明显改变拍面的性能，可以允许使用。</w:t>
      </w:r>
    </w:p>
    <w:p w14:paraId="6F06267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1.4.8比赛开始时及比赛过程中运动员需要更换球拍时，必须向对方和裁判员展示他将要使用的球拍，并允许他们检查。</w:t>
      </w:r>
    </w:p>
    <w:p w14:paraId="29D59901">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6" w:name="5"/>
      <w:bookmarkEnd w:id="6"/>
      <w:bookmarkStart w:id="7" w:name="定义"/>
      <w:bookmarkEnd w:id="7"/>
      <w:r>
        <w:rPr>
          <w:rFonts w:hint="eastAsia" w:ascii="仿宋_GB2312" w:hAnsi="仿宋_GB2312" w:eastAsia="仿宋_GB2312" w:cs="仿宋_GB2312"/>
        </w:rPr>
        <w:t>定义</w:t>
      </w:r>
    </w:p>
    <w:p w14:paraId="777C6B4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1.5.1“回合”：球处于比赛状态的一段时间。</w:t>
      </w:r>
    </w:p>
    <w:p w14:paraId="1EF1E3F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1.5.2“球处比赛状态”：从发球时球被有意向上抛起前，静止在不执拍手掌上的一瞬间，到该回合被判得分或重发球。</w:t>
      </w:r>
    </w:p>
    <w:p w14:paraId="1796D68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1.5.3“重发球”：不予判分的回合。</w:t>
      </w:r>
    </w:p>
    <w:p w14:paraId="3363A2C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1.5.4“一分”：判分的回合。</w:t>
      </w:r>
    </w:p>
    <w:p w14:paraId="15FD613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1.5.5“执拍手”：</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"https://baike.baidu.com/item/%E6%AD%A3%E6%8F%A1/9911082?fromModule=lemma_inlink"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正握</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着球拍的手。</w:t>
      </w:r>
    </w:p>
    <w:p w14:paraId="6A7BFCA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1.5.6“不执拍手”：未握着球拍的手。</w:t>
      </w:r>
    </w:p>
    <w:p w14:paraId="1DF7208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1.5.7“击球”：用握在手中的球拍或执拍手手腕以下部分</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"https://baike.baidu.com/item/%E8%A7%A6%E7%90%83/7431121?fromModule=lemma_inlink"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触球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54D6218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1.5.8 “阻挡”：对方击球后，处于比赛状态的球尚未触及本方台区也未超过比赛台面或其端线，即触及本方运动员或其穿带的任何物品。</w:t>
      </w:r>
    </w:p>
    <w:p w14:paraId="489E5B2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1.5.9“发球员”：在一个回合中，首先击球的运动员。</w:t>
      </w:r>
    </w:p>
    <w:p w14:paraId="38004D7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1.5.10“接发球员”：在一个回合中，第二个击球的运动员。</w:t>
      </w:r>
    </w:p>
    <w:p w14:paraId="5D6DE3E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1.5.11“裁判员”：被指定管理一场比赛的人。</w:t>
      </w:r>
    </w:p>
    <w:p w14:paraId="327E2C3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1.5.12“裁判助理”：被指定在某些方面协助裁判员工作的人。</w:t>
      </w:r>
    </w:p>
    <w:p w14:paraId="2C7E910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1.5.13运动员“穿或带”的任何物品，包括他在一个回合开始时穿或带的任何物品。</w:t>
      </w:r>
    </w:p>
    <w:p w14:paraId="592E6B0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1.5.14球从突出台外的球网装置之下或之外经过，或回击的球越过球网后又回弹过网，均应视作已”超过或绕过”球网装置。</w:t>
      </w:r>
    </w:p>
    <w:p w14:paraId="3BC537B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1.5.15球台的“端线”包括端线两端的无限延长线。</w:t>
      </w:r>
    </w:p>
    <w:p w14:paraId="30CFC10C">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8" w:name="6"/>
      <w:bookmarkEnd w:id="8"/>
      <w:bookmarkStart w:id="9" w:name="合法发球"/>
      <w:bookmarkEnd w:id="9"/>
      <w:r>
        <w:rPr>
          <w:rFonts w:hint="eastAsia" w:ascii="仿宋_GB2312" w:hAnsi="仿宋_GB2312" w:eastAsia="仿宋_GB2312" w:cs="仿宋_GB2312"/>
        </w:rPr>
        <w:t>合法发球</w:t>
      </w:r>
    </w:p>
    <w:p w14:paraId="7BD0221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1.6.1发球时，球应放在</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"https://baike.baidu.com/item/%E4%B8%8D%E6%89%A7%E6%8B%8D%E6%89%8B/53432599?fromModule=lemma_inlink"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不执拍手</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的手掌上,手掌张开和伸平。球应是静止的，在发球方的端线之后和比赛台面的水平面之上。</w:t>
      </w:r>
    </w:p>
    <w:p w14:paraId="6920C1F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1.6.2发球员须用手把球几乎垂直地向上抛起，不得使球旋转，并使球在离开不执拍手的手掌之后上升不少于16厘米。 [1-2]</w:t>
      </w:r>
    </w:p>
    <w:p w14:paraId="7507314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1.6.3当球从抛起的最高点下降时，发球员方可击球，使球首先触及本方台区，然后越过或绕过球网装置，再触及接发球员的台区。在双打中，球应先后触及发球员和接发球员的右半区。</w:t>
      </w:r>
    </w:p>
    <w:p w14:paraId="3971D93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1.6.4从</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"https://baike.baidu.com/item/%E6%8A%9B%E7%90%83/1744631?fromModule=lemma_inlink"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抛球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前球静止的最后一瞬间到击球时，球和球拍应在比赛台面的水平面之上。</w:t>
      </w:r>
    </w:p>
    <w:p w14:paraId="3151B80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1.6.5击球时，球应在发球方的端线之后，但不能超过发球员身体（手臂、头或腿除外）离端线最远的部分。</w:t>
      </w:r>
    </w:p>
    <w:p w14:paraId="3F1B227F">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1.6.6运动员发球时，有责任让裁判员或副裁判员看清他是否按照</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"https://baike.baidu.com/item/%E5%90%88%E6%B3%95%E5%8F%91%E7%90%83/5267711?fromModule=lemma_inlink"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合法发球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的规定发球。</w:t>
      </w:r>
    </w:p>
    <w:p w14:paraId="42A12BF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1.6.6.1如果裁判员怀疑发球员某个发球动作的正确性，并且他或者副裁判员都不能确信该发球动作不合法，一场比赛中此现象第一次出现时，裁判员可以警告发球员而不予判分。</w:t>
      </w:r>
    </w:p>
    <w:p w14:paraId="25D2C67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1.6.6.2在同一场比赛中，如果运动员发球动作的正确性再次受到怀疑，不管是否出于同样的原因，不再警告而判失一分。</w:t>
      </w:r>
    </w:p>
    <w:p w14:paraId="01B88E9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1.6.6.3无论是否第一次或任何时候，只要发球员明显没有按照合法发球的规定发球，他将被判失一分，无需警告。</w:t>
      </w:r>
    </w:p>
    <w:p w14:paraId="66BB8A9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1.6.7运动员因身体伤病而不能严格遵守合法发球的某些规定时，可由裁判员做出决定免予执行，但须在赛前向裁判员说明。</w:t>
      </w:r>
    </w:p>
    <w:p w14:paraId="1E7F1DC5">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10" w:name="合法还击"/>
      <w:bookmarkEnd w:id="10"/>
      <w:bookmarkStart w:id="11" w:name="7"/>
      <w:bookmarkEnd w:id="11"/>
      <w:r>
        <w:rPr>
          <w:rFonts w:hint="eastAsia" w:ascii="仿宋_GB2312" w:hAnsi="仿宋_GB2312" w:eastAsia="仿宋_GB2312" w:cs="仿宋_GB2312"/>
        </w:rPr>
        <w:t>合法还击</w:t>
      </w:r>
    </w:p>
    <w:p w14:paraId="0AB54CE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1.7.1对方发球或还击后，本方运动员必须击球，使球直接越过或绕过球网装置，或触及球网装置后，再触及对方台区。</w:t>
      </w:r>
    </w:p>
    <w:p w14:paraId="0E6821EC">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12" w:name="比赛次序"/>
      <w:bookmarkEnd w:id="12"/>
      <w:bookmarkStart w:id="13" w:name="8"/>
      <w:bookmarkEnd w:id="13"/>
      <w:r>
        <w:rPr>
          <w:rFonts w:hint="eastAsia" w:ascii="仿宋_GB2312" w:hAnsi="仿宋_GB2312" w:eastAsia="仿宋_GB2312" w:cs="仿宋_GB2312"/>
        </w:rPr>
        <w:t>比赛次序</w:t>
      </w:r>
    </w:p>
    <w:p w14:paraId="653A6FFF">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1.8.1在单打中，首先由发球员</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"https://baike.baidu.com/item/%E5%90%88%E6%B3%95%E5%8F%91%E7%90%83/5267711?fromModule=lemma_inlink"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合法发球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，再由接发球员</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"https://baike.baidu.com/item/%E5%90%88%E6%B3%95%E8%BF%98%E5%87%BB/10806140?fromModule=lemma_inlink"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合法还击</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，然后两者交替合法还击。</w:t>
      </w:r>
    </w:p>
    <w:p w14:paraId="04C088B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1.8.2在双打中，首先由球员合法发球，再由接发球员合法还击，然后由发球员的同伴合法还击，再由接发球员的同伴合法还击，此后，运动员按此次序轮流合法还击。</w:t>
      </w:r>
    </w:p>
    <w:p w14:paraId="371623A8">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14" w:name="重发球"/>
      <w:bookmarkEnd w:id="14"/>
      <w:bookmarkStart w:id="15" w:name="9"/>
      <w:bookmarkEnd w:id="15"/>
      <w:r>
        <w:rPr>
          <w:rFonts w:hint="eastAsia" w:ascii="仿宋_GB2312" w:hAnsi="仿宋_GB2312" w:eastAsia="仿宋_GB2312" w:cs="仿宋_GB2312"/>
        </w:rPr>
        <w:t>重发球</w:t>
      </w:r>
    </w:p>
    <w:p w14:paraId="77A0806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1.9.1回合出现下列情况应判重发球：</w:t>
      </w:r>
    </w:p>
    <w:p w14:paraId="40CBBC4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1.9.1.1如果发球员发出的球，在越过或绕过球网装置时,触及球网装置，此后成为合法发球或被接发球员或其同伴阻挡。</w:t>
      </w:r>
    </w:p>
    <w:p w14:paraId="3C44A44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1.9.1.2如果接发球员或同伴未准备好时，球已发出，而且接发球员或其同伴均没有企图击球。</w:t>
      </w:r>
    </w:p>
    <w:p w14:paraId="2352DE1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1.9.1.3由于发生了运动员无法控制的干扰，而使运动员未能合法发球、</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"https://baike.baidu.com/item/%E5%90%88%E6%B3%95%E8%BF%98%E5%87%BB/10806140?fromModule=lemma_inlink"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合法还击</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或遵守规则。</w:t>
      </w:r>
    </w:p>
    <w:p w14:paraId="7090BA2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1.9.1.4裁判员或副裁判员暂停比赛。</w:t>
      </w:r>
    </w:p>
    <w:p w14:paraId="1FF73F5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1.9.1.5在双打时，运动员错发，</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"https://baike.baidu.com/item/%E9%94%99%E6%8E%A5/8632494?fromModule=lemma_inlink"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错接</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6613E155">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1.9.2可以在下列情况下暂停比赛：</w:t>
      </w:r>
    </w:p>
    <w:p w14:paraId="6F64F65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1.9.2.1由于要纠正发球、接发球次序或方位错误；</w:t>
      </w:r>
    </w:p>
    <w:p w14:paraId="1FC0A6C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1.9.2.2由于要实行</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"https://baike.baidu.com/item/%E8%BD%AE%E6%8D%A2%E5%8F%91%E7%90%83%E6%B3%95/17520316?fromModule=lemma_inlink"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轮换发球法</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7651B9E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1.9.2.3由于警告或处罚运动员；</w:t>
      </w:r>
    </w:p>
    <w:p w14:paraId="21BC0FC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1.9.2.4由于比赛环境受到干扰，以致该回合结果有可能受到影响。</w:t>
      </w:r>
    </w:p>
    <w:p w14:paraId="6AC359AE">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bookmarkStart w:id="16" w:name="10"/>
      <w:bookmarkEnd w:id="16"/>
      <w:bookmarkStart w:id="17" w:name="一分"/>
      <w:bookmarkEnd w:id="17"/>
      <w:r>
        <w:rPr>
          <w:rFonts w:hint="eastAsia" w:ascii="仿宋_GB2312" w:hAnsi="仿宋_GB2312" w:eastAsia="仿宋_GB2312" w:cs="仿宋_GB2312"/>
        </w:rPr>
        <w:t>一</w:t>
      </w:r>
      <w:r>
        <w:rPr>
          <w:rFonts w:hint="eastAsia" w:ascii="仿宋_GB2312" w:hAnsi="仿宋_GB2312" w:eastAsia="仿宋_GB2312" w:cs="仿宋_GB2312"/>
          <w:lang w:val="en-US" w:eastAsia="zh-CN"/>
        </w:rPr>
        <w:t>1.10.1除被判重发球的回合，下列情况（均是在比赛状态下）运动员得一分：</w:t>
      </w:r>
    </w:p>
    <w:p w14:paraId="00EC90B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1.10.1.1对方运动员未能</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"https://baike.baidu.com/item/%E5%90%88%E6%B3%95%E5%8F%91%E7%90%83/5267711?fromModule=lemma_inlink"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合法发球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2B74CE8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1.10.1.2对方运动员未能</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"https://baike.baidu.com/item/%E5%90%88%E6%B3%95%E8%BF%98%E5%87%BB/10806140?fromModule=lemma_inlink"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合法还击</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724BDE25">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1.10.1.3运动员在发球或还击后，对方运动员在击球前，球触及了除球网装置以外的任何东西；</w:t>
      </w:r>
    </w:p>
    <w:p w14:paraId="1620EE6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1.10.1.4对方击球后，该球越过本方端线而没有触及本方台区；</w:t>
      </w:r>
    </w:p>
    <w:p w14:paraId="5E66992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1.10.1.5对方阻挡；</w:t>
      </w:r>
    </w:p>
    <w:p w14:paraId="55A9BB3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1.10.1.6对方连击；</w:t>
      </w:r>
    </w:p>
    <w:p w14:paraId="4A66001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1.10.1.7对方用不符合1.4.3条款的拍面击球；</w:t>
      </w:r>
    </w:p>
    <w:p w14:paraId="7D8C025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1.10.1.8对方运动员或他穿戴的任何东西使球台移动；</w:t>
      </w:r>
    </w:p>
    <w:p w14:paraId="7792A16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1.10.1.9对方运动员或他穿戴的任何东西触及球网装置，包括对方运动员因抛</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"https://baike.baidu.com/item/%E4%B9%92%E4%B9%93%E7%90%83%E6%8B%8D/3365717?fromModule=lemma_inlink"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乒乓球拍</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击球时乒乓球拍触网；</w:t>
      </w:r>
    </w:p>
    <w:p w14:paraId="69AF25E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1.10.1.10对方运动员不执拍手触及比赛台面；</w:t>
      </w:r>
    </w:p>
    <w:p w14:paraId="105F863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1.10.1.11双打时，对方运动员击球次序错误；</w:t>
      </w:r>
    </w:p>
    <w:p w14:paraId="16BCDDE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1.10.1.12执行</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"https://baike.baidu.com/item/%E8%BD%AE%E6%8D%A2%E5%8F%91%E7%90%83%E6%B3%95/17520316?fromModule=lemma_inlink"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轮换发球法</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时，接发球运动员或其双打同伴，包括接发球一击，完成了13次</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"https://baike.baidu.com/item/%E5%90%88%E6%B3%95%E8%BF%98%E5%87%BB/10806140?fromModule=lemma_inlink"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合法还击</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5F519597">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18" w:name="11"/>
      <w:bookmarkEnd w:id="18"/>
      <w:bookmarkStart w:id="19" w:name="一局比赛"/>
      <w:bookmarkEnd w:id="19"/>
      <w:r>
        <w:rPr>
          <w:rFonts w:hint="eastAsia" w:ascii="仿宋_GB2312" w:hAnsi="仿宋_GB2312" w:eastAsia="仿宋_GB2312" w:cs="仿宋_GB2312"/>
        </w:rPr>
        <w:t>一局比赛</w:t>
      </w:r>
    </w:p>
    <w:p w14:paraId="10BC2D2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1.11.1在一局比赛中，先得11分的一方为胜方，10平后，先多得2分的一方为胜方。(T2赛制24分钟限时,24分钟前11分即获胜无需多得2分即使10:10也只需要再得1分即胜利,24分钟后采用5分制,即谁先得5分即胜利)</w:t>
      </w:r>
    </w:p>
    <w:p w14:paraId="7A17867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1.11.2强调：一定要有一人达到十分后，领先2分，才算胜方。如14:15不行，8:5也不行，但11:13是13分的为胜方.(T2新赛制24分钟前</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"https://baike.baidu.com/item/11%E5%88%86%E5%88%B6/60684447?fromModule=lemma_inlink"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11分制</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,24分钟后5分制,而且无需领先2分)</w:t>
      </w:r>
    </w:p>
    <w:p w14:paraId="32364D7F">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20" w:name="12"/>
      <w:bookmarkEnd w:id="20"/>
      <w:bookmarkStart w:id="21" w:name="一场比赛"/>
      <w:bookmarkEnd w:id="21"/>
      <w:r>
        <w:rPr>
          <w:rFonts w:hint="eastAsia" w:ascii="仿宋_GB2312" w:hAnsi="仿宋_GB2312" w:eastAsia="仿宋_GB2312" w:cs="仿宋_GB2312"/>
        </w:rPr>
        <w:t>一场比赛</w:t>
      </w:r>
    </w:p>
    <w:p w14:paraId="3D98ABC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1.12.1一场比赛应采用三局两胜制或五局三胜制或七局四胜制。</w:t>
      </w:r>
    </w:p>
    <w:p w14:paraId="2FB15D8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1.12.2一场比赛应连续进行，但在局与局之间，任何一名运动员都有权要求不超过一分钟的</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"https://baike.baidu.com/item/%E4%BC%91%E6%81%AF%E6%97%B6%E9%97%B4/1527031?fromModule=lemma_inlink"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休息时间</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57C863D6">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lang w:val="en-US" w:eastAsia="zh-CN"/>
        </w:rPr>
      </w:pPr>
      <w:bookmarkStart w:id="22" w:name="方位的选择"/>
      <w:bookmarkEnd w:id="22"/>
      <w:bookmarkStart w:id="23" w:name="13"/>
      <w:bookmarkEnd w:id="23"/>
      <w:r>
        <w:rPr>
          <w:rFonts w:hint="eastAsia" w:ascii="仿宋_GB2312" w:hAnsi="仿宋_GB2312" w:eastAsia="仿宋_GB2312" w:cs="仿宋_GB2312"/>
        </w:rPr>
        <w:t>方位的</w:t>
      </w:r>
      <w:r>
        <w:rPr>
          <w:rFonts w:hint="eastAsia" w:ascii="仿宋_GB2312" w:hAnsi="仿宋_GB2312" w:eastAsia="仿宋_GB2312" w:cs="仿宋_GB2312"/>
          <w:lang w:val="en-US" w:eastAsia="zh-CN"/>
        </w:rPr>
        <w:t>选择</w:t>
      </w:r>
    </w:p>
    <w:p w14:paraId="003F22E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1.13.1选择发球，接发球和这一方,那一方的权力应由抽签来决定，中签者可以选择先发球或先接发球，或选择先在某一方。</w:t>
      </w:r>
    </w:p>
    <w:p w14:paraId="4E90313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1.13.2当一方运动员选择了先发球或先接发球，或选择先在某一方后，另一方运动员应有另一个选择的权力。</w:t>
      </w:r>
    </w:p>
    <w:p w14:paraId="3F48036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1.13.3在获得每2分之后，接发球方即成为发球方,依此类推，直至该局比赛结束， 或者直至双方比分都达到10分或实行轮换发球法，这时，发球和接发次序仍然不变，但每人只轮发一分球。 [2]</w:t>
      </w:r>
    </w:p>
    <w:p w14:paraId="2FFD046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1.13.4在双打的第一局比赛中,先发球方确定第一发球员,再由先接发球方确定第一接发球员。在以后的各局比赛中，第一发球员确定后，第一接发球员应是前一局发球给他的运动员。</w:t>
      </w:r>
    </w:p>
    <w:p w14:paraId="0EBB240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1.13.5在双打中，每次换发球时,前面的接发球员应成为发球员，前面的发球员的同伴应成为接发球员。</w:t>
      </w:r>
    </w:p>
    <w:p w14:paraId="641FB70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1.13.6一局中首先发球的一方，在该场下一局应首先接发球。在双打决胜局中，当一方先得5分时，接发球方应交换接发球次序。</w:t>
      </w:r>
    </w:p>
    <w:p w14:paraId="2062128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i w:val="0"/>
          <w:iCs w:val="0"/>
          <w:caps w:val="0"/>
          <w:color w:val="auto"/>
          <w:spacing w:val="0"/>
          <w:szCs w:val="24"/>
        </w:rPr>
      </w:pPr>
      <w:r>
        <w:rPr>
          <w:rFonts w:hint="eastAsia" w:ascii="仿宋_GB2312" w:hAnsi="仿宋_GB2312" w:eastAsia="仿宋_GB2312" w:cs="仿宋_GB2312"/>
          <w:lang w:val="en-US" w:eastAsia="zh-CN"/>
        </w:rPr>
        <w:t>1.13.7一局中，在某一方位比赛的一方,在该场下一局应换到另一方位.在决胜局中，一方先得5分时，双方应交换方位。</w:t>
      </w:r>
    </w:p>
    <w:p w14:paraId="117BAC63">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24" w:name="方位的错误"/>
      <w:bookmarkEnd w:id="24"/>
      <w:bookmarkStart w:id="25" w:name="14"/>
      <w:bookmarkEnd w:id="25"/>
      <w:r>
        <w:rPr>
          <w:rFonts w:hint="eastAsia" w:ascii="仿宋_GB2312" w:hAnsi="仿宋_GB2312" w:eastAsia="仿宋_GB2312" w:cs="仿宋_GB2312"/>
        </w:rPr>
        <w:t>方位的错误</w:t>
      </w:r>
    </w:p>
    <w:p w14:paraId="3BA531D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1.14.1裁判员一旦发现发球、接发球次序错误，应立即暂停比赛,并按该场比赛开始时确立的次序，按场上比分由应该发球或接发球的运动员发球或接发球;在双打中,则按发现错误时那一局中首先有</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"https://baike.baidu.com/item/%E5%8F%91%E7%90%83%E6%9D%83/12580131?fromModule=lemma_inlink"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发球权</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的一方所确立的次序进行纠正，继续比赛。</w:t>
      </w:r>
    </w:p>
    <w:p w14:paraId="5FD28F3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1.14.2裁判员一旦发现运动员应交换方位而未交换时,应立即暂停比赛，并按该场比赛开始时确立的次序按场上比分运动员应站的正确方位进行纠正，再继续比赛。</w:t>
      </w:r>
    </w:p>
    <w:p w14:paraId="12D059CF">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1.14.3在任何情况下，发现错误之前的所有得分均有效。</w:t>
      </w:r>
    </w:p>
    <w:p w14:paraId="6D0B4B4F">
      <w:pPr>
        <w:pStyle w:val="4"/>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rPr>
      </w:pPr>
      <w:bookmarkStart w:id="26" w:name="轮换发球法"/>
      <w:bookmarkEnd w:id="26"/>
      <w:bookmarkStart w:id="27" w:name="15"/>
      <w:bookmarkEnd w:id="27"/>
      <w:r>
        <w:rPr>
          <w:rFonts w:hint="eastAsia" w:ascii="仿宋_GB2312" w:hAnsi="仿宋_GB2312" w:eastAsia="仿宋_GB2312" w:cs="仿宋_GB2312"/>
        </w:rPr>
        <w:t>轮换发球法</w:t>
      </w:r>
    </w:p>
    <w:p w14:paraId="5E8BBB5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1.15.1如果一局比赛进行到10分钟仍未结束(双方都已获得至少9分时除外)，或者在此之前任何时间应双方运动员要求，应实行</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"https://baike.baidu.com/item/%E8%BD%AE%E6%8D%A2%E5%8F%91%E7%90%83%E6%B3%95/17520316?fromModule=lemma_inlink"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轮换发球法</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w:t>
      </w:r>
    </w:p>
    <w:p w14:paraId="0E03B01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1.15.1.1当时限到时，球仍处于比赛状态，裁判员应立即暂停比赛。由被暂停回合的发球员发球，继续比赛。</w:t>
      </w:r>
    </w:p>
    <w:p w14:paraId="36192EC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1.15.1.2当时限到时，球未处于比赛状态，应由前一回合的接发球员发球，继续比赛。</w:t>
      </w:r>
    </w:p>
    <w:p w14:paraId="3342ABD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1.15.2此后，每个运动员都轮发一分球，直至该局结束。如果接发球方进行了13次</w:t>
      </w:r>
      <w:r>
        <w:rPr>
          <w:rFonts w:hint="eastAsia" w:ascii="仿宋_GB2312" w:hAnsi="仿宋_GB2312" w:eastAsia="仿宋_GB2312" w:cs="仿宋_GB2312"/>
          <w:lang w:val="en-US" w:eastAsia="zh-CN"/>
        </w:rPr>
        <w:fldChar w:fldCharType="begin"/>
      </w:r>
      <w:r>
        <w:rPr>
          <w:rFonts w:hint="eastAsia" w:ascii="仿宋_GB2312" w:hAnsi="仿宋_GB2312" w:eastAsia="仿宋_GB2312" w:cs="仿宋_GB2312"/>
          <w:lang w:val="en-US" w:eastAsia="zh-CN"/>
        </w:rPr>
        <w:instrText xml:space="preserve"> HYPERLINK "https://baike.baidu.com/item/%E5%90%88%E6%B3%95%E8%BF%98%E5%87%BB/10806140?fromModule=lemma_inlink" \t "https://baike.baidu.com/item/%E4%B9%92%E4%B9%93%E7%90%83%E6%AF%94%E8%B5%9B%E8%A7%84%E5%88%99/_blank" </w:instrText>
      </w:r>
      <w:r>
        <w:rPr>
          <w:rFonts w:hint="eastAsia" w:ascii="仿宋_GB2312" w:hAnsi="仿宋_GB2312" w:eastAsia="仿宋_GB2312" w:cs="仿宋_GB2312"/>
          <w:lang w:val="en-US" w:eastAsia="zh-CN"/>
        </w:rPr>
        <w:fldChar w:fldCharType="separate"/>
      </w:r>
      <w:r>
        <w:rPr>
          <w:rStyle w:val="7"/>
          <w:rFonts w:hint="eastAsia" w:ascii="仿宋_GB2312" w:hAnsi="仿宋_GB2312" w:eastAsia="仿宋_GB2312" w:cs="仿宋_GB2312"/>
          <w:i w:val="0"/>
          <w:iCs w:val="0"/>
          <w:caps w:val="0"/>
          <w:color w:val="auto"/>
          <w:spacing w:val="0"/>
          <w:szCs w:val="24"/>
          <w:u w:val="none"/>
          <w:shd w:val="clear" w:fill="FFFFFF"/>
        </w:rPr>
        <w:t>合法还击</w:t>
      </w:r>
      <w:r>
        <w:rPr>
          <w:rFonts w:hint="eastAsia" w:ascii="仿宋_GB2312" w:hAnsi="仿宋_GB2312" w:eastAsia="仿宋_GB2312" w:cs="仿宋_GB2312"/>
          <w:lang w:val="en-US" w:eastAsia="zh-CN"/>
        </w:rPr>
        <w:fldChar w:fldCharType="end"/>
      </w:r>
      <w:r>
        <w:rPr>
          <w:rFonts w:hint="eastAsia" w:ascii="仿宋_GB2312" w:hAnsi="仿宋_GB2312" w:eastAsia="仿宋_GB2312" w:cs="仿宋_GB2312"/>
          <w:lang w:val="en-US" w:eastAsia="zh-CN"/>
        </w:rPr>
        <w:t>，则判发球方失一分。</w:t>
      </w:r>
    </w:p>
    <w:p w14:paraId="0CDADDB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1.15.3轮换发球法一经实行，该场比赛的剩余部分必须继续实行，直至该场比赛结束。</w:t>
      </w:r>
      <w:bookmarkStart w:id="28" w:name="16"/>
      <w:bookmarkEnd w:id="28"/>
      <w:bookmarkStart w:id="29" w:name="间 歇"/>
      <w:bookmarkEnd w:id="29"/>
    </w:p>
    <w:p w14:paraId="6942F44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本规则解释权属于厦门工学院体育部，未尽事项另行通知。  </w:t>
      </w:r>
    </w:p>
    <w:p w14:paraId="0FA33E4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497AB86E">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779BF15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30DF2BD3">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15C942F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1753CDC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D4241F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2EE47A4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2F08F0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04C3EE1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3F9D9E3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196001A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6DD4D66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2FF5529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2992F0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24576F73">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14:paraId="040077C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14:paraId="0540C05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2E46875E">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2F6374F">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64E1ED3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280E957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附件1.</w:t>
      </w:r>
    </w:p>
    <w:p w14:paraId="03FF95B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（报名表按照年级➕班级➕姓名➕学号的形式上传，双打一定要写两个人的信息，男双、女双每学院限报三队 ，融新学院限报六队，单打不限报名人数。</w:t>
      </w:r>
    </w:p>
    <w:p w14:paraId="52BFA0F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以学院为单位进行报名 ，个人上传邮箱信息无效，待学院统计完参赛运动员后，统一由学院负责人汇总最终信息，批注好学院单位，发送至邮箱。）</w:t>
      </w:r>
    </w:p>
    <w:p w14:paraId="309CD78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参赛学院：</w:t>
      </w:r>
    </w:p>
    <w:p w14:paraId="29B2AF6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男子双打：</w:t>
      </w:r>
    </w:p>
    <w:p w14:paraId="596EFEA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1930DDF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4816D1F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14:paraId="0D9D53C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女子双打：</w:t>
      </w:r>
    </w:p>
    <w:p w14:paraId="569A595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14:paraId="7DE9226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5D3624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275E525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31378A09">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男子单打：</w:t>
      </w:r>
    </w:p>
    <w:p w14:paraId="2B35E80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31D7F6B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4EF8D00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447B146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271F55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3EF7A21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EB9D518">
      <w:pPr>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女子单打：</w:t>
      </w:r>
    </w:p>
    <w:p w14:paraId="54438A8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729A8EF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68D365B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523E5E6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455D7731">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14F09BA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4E708135">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报名方式：邮箱填写报名信息。</w:t>
      </w:r>
    </w:p>
    <w:p w14:paraId="6E78086B">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邮箱号码：1667277488@q q.com</w:t>
      </w:r>
    </w:p>
    <w:p w14:paraId="68F3710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其余问题联系：15638120876（微信同号）</w:t>
      </w:r>
    </w:p>
    <w:p w14:paraId="34ECD80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lang w:val="en-US" w:eastAsia="zh-CN"/>
        </w:rPr>
      </w:pPr>
    </w:p>
    <w:p w14:paraId="0BA65B4E">
      <w:pPr>
        <w:pageBreakBefore w:val="0"/>
        <w:widowControl w:val="0"/>
        <w:kinsoku/>
        <w:wordWrap/>
        <w:overflowPunct/>
        <w:topLinePunct w:val="0"/>
        <w:autoSpaceDE/>
        <w:autoSpaceDN/>
        <w:bidi w:val="0"/>
        <w:adjustRightInd/>
        <w:snapToGrid/>
        <w:spacing w:line="570" w:lineRule="exact"/>
        <w:ind w:left="0"/>
        <w:textAlignment w:val="auto"/>
        <w:rPr>
          <w:rFonts w:hint="eastAsia" w:ascii="宋体" w:hAnsi="宋体" w:eastAsia="宋体" w:cs="宋体"/>
          <w:sz w:val="24"/>
          <w:szCs w:val="24"/>
          <w:lang w:val="en-US" w:eastAsia="zh-CN"/>
        </w:rPr>
      </w:pP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76F960"/>
    <w:multiLevelType w:val="singleLevel"/>
    <w:tmpl w:val="5B76F96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kZDdjODMwNjMxY2IzNGFmNmYwMzMyNGVjNTdlNTYifQ=="/>
  </w:docVars>
  <w:rsids>
    <w:rsidRoot w:val="051F1B3D"/>
    <w:rsid w:val="051F1B3D"/>
    <w:rsid w:val="14854FD0"/>
    <w:rsid w:val="148F527B"/>
    <w:rsid w:val="15C031F0"/>
    <w:rsid w:val="19902581"/>
    <w:rsid w:val="1AE856E5"/>
    <w:rsid w:val="1AFD610F"/>
    <w:rsid w:val="1F00355C"/>
    <w:rsid w:val="2AB147B2"/>
    <w:rsid w:val="486542E5"/>
    <w:rsid w:val="55792006"/>
    <w:rsid w:val="692829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bidi w:val="0"/>
      <w:ind w:firstLine="480" w:firstLineChars="200"/>
      <w:jc w:val="both"/>
    </w:pPr>
    <w:rPr>
      <w:rFonts w:ascii="方正仿宋_GB2312" w:hAnsi="方正仿宋_GB2312" w:eastAsia="方正仿宋_GB2312" w:cs="方正仿宋_GB2312"/>
      <w:kern w:val="2"/>
      <w:sz w:val="32"/>
      <w:szCs w:val="32"/>
      <w:lang w:val="en-US" w:eastAsia="zh-CN" w:bidi="ar-SA"/>
    </w:rPr>
  </w:style>
  <w:style w:type="paragraph" w:styleId="2">
    <w:name w:val="heading 1"/>
    <w:basedOn w:val="1"/>
    <w:next w:val="1"/>
    <w:link w:val="8"/>
    <w:qFormat/>
    <w:uiPriority w:val="9"/>
    <w:pPr>
      <w:keepNext/>
      <w:keepLines/>
      <w:spacing w:before="0" w:after="0" w:line="408" w:lineRule="auto"/>
      <w:outlineLvl w:val="0"/>
    </w:pPr>
    <w:rPr>
      <w:b/>
      <w:bCs/>
      <w:color w:val="1A1A1A"/>
      <w:sz w:val="36"/>
      <w:szCs w:val="36"/>
    </w:rPr>
  </w:style>
  <w:style w:type="paragraph" w:styleId="3">
    <w:name w:val="heading 2"/>
    <w:basedOn w:val="1"/>
    <w:next w:val="1"/>
    <w:link w:val="9"/>
    <w:unhideWhenUsed/>
    <w:qFormat/>
    <w:uiPriority w:val="0"/>
    <w:pPr>
      <w:spacing w:beforeAutospacing="1" w:afterAutospacing="1"/>
      <w:jc w:val="left"/>
      <w:outlineLvl w:val="1"/>
    </w:pPr>
    <w:rPr>
      <w:rFonts w:ascii="黑体" w:hAnsi="黑体" w:eastAsia="黑体" w:cs="黑体"/>
      <w:kern w:val="0"/>
      <w:lang w:bidi="ar"/>
    </w:rPr>
  </w:style>
  <w:style w:type="paragraph" w:styleId="4">
    <w:name w:val="heading 3"/>
    <w:basedOn w:val="1"/>
    <w:next w:val="1"/>
    <w:unhideWhenUsed/>
    <w:qFormat/>
    <w:uiPriority w:val="0"/>
    <w:pPr>
      <w:keepNext/>
      <w:keepLines/>
      <w:spacing w:before="260" w:beforeLines="0" w:after="260" w:afterLines="0" w:line="413" w:lineRule="auto"/>
      <w:outlineLvl w:val="2"/>
    </w:pPr>
    <w:rPr>
      <w:rFonts w:ascii="楷体" w:hAnsi="楷体" w:eastAsia="楷体" w:cs="楷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Hyperlink"/>
    <w:basedOn w:val="6"/>
    <w:qFormat/>
    <w:uiPriority w:val="0"/>
    <w:rPr>
      <w:color w:val="0000FF"/>
      <w:u w:val="single"/>
    </w:rPr>
  </w:style>
  <w:style w:type="character" w:customStyle="1" w:styleId="8">
    <w:name w:val="标题 1 Char"/>
    <w:link w:val="2"/>
    <w:qFormat/>
    <w:uiPriority w:val="9"/>
    <w:rPr>
      <w:b/>
      <w:bCs/>
      <w:color w:val="1A1A1A"/>
      <w:sz w:val="36"/>
      <w:szCs w:val="36"/>
    </w:rPr>
  </w:style>
  <w:style w:type="character" w:customStyle="1" w:styleId="9">
    <w:name w:val="标题 2 Char"/>
    <w:link w:val="3"/>
    <w:qFormat/>
    <w:uiPriority w:val="0"/>
    <w:rPr>
      <w:rFonts w:ascii="黑体" w:hAnsi="黑体" w:eastAsia="黑体" w:cs="黑体"/>
      <w:kern w:val="0"/>
      <w:sz w:val="32"/>
      <w:szCs w:val="32"/>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4457</Words>
  <Characters>5071</Characters>
  <TotalTime>1</TotalTime>
  <ScaleCrop>false</ScaleCrop>
  <LinksUpToDate>false</LinksUpToDate>
  <CharactersWithSpaces>5095</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2025-09-15T08:29:00Z</dcterms:created>
  <dc:creator>dell</dc:creator>
  <cp:lastModifiedBy>No.7 of China Team</cp:lastModifiedBy>
  <dcterms:modified xsi:type="dcterms:W3CDTF">2025-09-30T07:29:33Z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eyJoZGlkIjoiNmFiYjYzNjM2YzQ1ODMwYjJmMzg4OTI3MTkxYTE4N2MiLCJ1c2VySWQiOiI5NTkxMTg4NTkifQ==</vt:lpwstr>
  </property>
  <property fmtid="{D5CDD505-2E9C-101B-9397-08002B2CF9AE}" pid="3" name="KSOProductBuildVer">
    <vt:lpwstr>2052-12.1.0.22529</vt:lpwstr>
  </property>
  <property fmtid="{D5CDD505-2E9C-101B-9397-08002B2CF9AE}" pid="4" name="ICV">
    <vt:lpwstr>DF03BB2DFD724385A1995DCE7E9ED3CF_13</vt:lpwstr>
  </property>
</Properties>
</file>