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7CE24">
      <w:pPr>
        <w:spacing w:line="570" w:lineRule="exact"/>
        <w:jc w:val="center"/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教育部等五部门关于印发</w:t>
      </w:r>
    </w:p>
    <w:p w14:paraId="6B70B97D">
      <w:pPr>
        <w:spacing w:line="570" w:lineRule="exact"/>
        <w:jc w:val="center"/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《“人工智能+教育”行动计划》的通知</w:t>
      </w:r>
    </w:p>
    <w:p w14:paraId="3125B0EF">
      <w:pPr>
        <w:spacing w:line="570" w:lineRule="exact"/>
        <w:jc w:val="center"/>
        <w:rPr>
          <w:rFonts w:hint="eastAsia" w:ascii="楷体" w:hAnsi="楷体" w:eastAsia="楷体" w:cs="楷体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sz w:val="32"/>
          <w:szCs w:val="32"/>
          <w:shd w:val="clear" w:color="auto" w:fill="FFFFFF"/>
        </w:rPr>
        <w:t>教科信〔2026〕1号</w:t>
      </w:r>
    </w:p>
    <w:p w14:paraId="5C4E503B">
      <w:pPr>
        <w:spacing w:line="600" w:lineRule="exact"/>
        <w:ind w:firstLine="624" w:firstLineChars="200"/>
        <w:jc w:val="left"/>
        <w:rPr>
          <w:rFonts w:hint="eastAsia" w:ascii="Times New Roman" w:hAnsi="Times New Roman" w:eastAsia="仿宋_GB2312"/>
          <w:spacing w:val="-4"/>
          <w:sz w:val="32"/>
          <w:szCs w:val="32"/>
        </w:rPr>
      </w:pPr>
    </w:p>
    <w:p w14:paraId="6414FDFF">
      <w:pPr>
        <w:spacing w:line="600" w:lineRule="exact"/>
        <w:ind w:firstLine="624" w:firstLineChars="200"/>
        <w:jc w:val="left"/>
        <w:rPr>
          <w:rFonts w:hint="default" w:ascii="Times New Roman" w:hAnsi="Times New Roman" w:eastAsia="仿宋_GB2312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pacing w:val="-4"/>
          <w:sz w:val="32"/>
          <w:szCs w:val="32"/>
        </w:rPr>
        <w:t>现将《“人工智能+教育”行动计划》印发给你们，请认真贯彻落实。</w:t>
      </w:r>
      <w:r>
        <w:rPr>
          <w:rFonts w:hint="eastAsia" w:ascii="Times New Roman" w:hAnsi="Times New Roman" w:eastAsia="仿宋_GB2312"/>
          <w:spacing w:val="-4"/>
          <w:sz w:val="32"/>
          <w:szCs w:val="32"/>
          <w:lang w:val="en-US" w:eastAsia="zh-CN"/>
        </w:rPr>
        <w:t xml:space="preserve">  </w:t>
      </w:r>
    </w:p>
    <w:p w14:paraId="1EA53F20">
      <w:pPr>
        <w:spacing w:line="600" w:lineRule="exact"/>
        <w:ind w:firstLine="624" w:firstLineChars="200"/>
        <w:jc w:val="right"/>
        <w:rPr>
          <w:rFonts w:hint="eastAsia" w:ascii="Times New Roman" w:hAnsi="Times New Roman" w:eastAsia="仿宋_GB2312"/>
          <w:spacing w:val="-4"/>
          <w:sz w:val="32"/>
          <w:szCs w:val="32"/>
        </w:rPr>
      </w:pPr>
    </w:p>
    <w:p w14:paraId="4F68C5E6">
      <w:pPr>
        <w:spacing w:line="600" w:lineRule="exact"/>
        <w:ind w:firstLine="624" w:firstLineChars="200"/>
        <w:jc w:val="right"/>
        <w:rPr>
          <w:rFonts w:hint="eastAsia" w:ascii="Times New Roman" w:hAnsi="Times New Roman" w:eastAsia="仿宋_GB2312"/>
          <w:spacing w:val="-4"/>
          <w:sz w:val="32"/>
          <w:szCs w:val="32"/>
        </w:rPr>
      </w:pPr>
      <w:bookmarkStart w:id="0" w:name="_GoBack"/>
      <w:bookmarkEnd w:id="0"/>
    </w:p>
    <w:p w14:paraId="6EF42BEC">
      <w:pPr>
        <w:spacing w:line="600" w:lineRule="exact"/>
        <w:ind w:firstLine="624" w:firstLineChars="200"/>
        <w:jc w:val="right"/>
        <w:rPr>
          <w:rFonts w:hint="eastAsia" w:ascii="Times New Roman" w:hAnsi="Times New Roman" w:eastAsia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/>
          <w:spacing w:val="-4"/>
          <w:sz w:val="32"/>
          <w:szCs w:val="32"/>
        </w:rPr>
        <w:t>教 育 部  国家发展改革委  工业和信息化部</w:t>
      </w:r>
    </w:p>
    <w:p w14:paraId="6B26BC61">
      <w:pPr>
        <w:spacing w:line="600" w:lineRule="exact"/>
        <w:ind w:firstLine="624" w:firstLineChars="200"/>
        <w:jc w:val="right"/>
        <w:rPr>
          <w:rFonts w:hint="eastAsia" w:ascii="Times New Roman" w:hAnsi="Times New Roman" w:eastAsia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/>
          <w:spacing w:val="-4"/>
          <w:sz w:val="32"/>
          <w:szCs w:val="32"/>
        </w:rPr>
        <w:t>科技部  国家数据局</w:t>
      </w:r>
    </w:p>
    <w:p w14:paraId="6A4AE405">
      <w:pPr>
        <w:spacing w:line="60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pacing w:val="-4"/>
          <w:sz w:val="32"/>
          <w:szCs w:val="32"/>
        </w:rPr>
        <w:t>2026年4月2日</w:t>
      </w:r>
    </w:p>
    <w:p w14:paraId="182F4B24">
      <w:pP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br w:type="page"/>
      </w:r>
    </w:p>
    <w:p w14:paraId="59A3356F">
      <w:pPr>
        <w:spacing w:line="600" w:lineRule="exact"/>
        <w:ind w:firstLine="1320" w:firstLineChars="3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“人工智能+教育”行动计划</w:t>
      </w:r>
    </w:p>
    <w:p w14:paraId="1D69FAEF">
      <w:pPr>
        <w:spacing w:line="60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根据《教育强国建设规划纲要（2024—2035年）》战略部署，按照《国务院关于深入实施“人工智能+”行动的意见》的要求，制定本计划。</w:t>
      </w:r>
    </w:p>
    <w:p w14:paraId="237C4B3C">
      <w:pPr>
        <w:spacing w:line="60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一、总体要求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</w:p>
    <w:p w14:paraId="090EC726">
      <w:pPr>
        <w:spacing w:line="60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以习近平新时代中国特色社会主义思想为指导，深入贯彻党的二十大和二十届历次全会、全国教育大会精神，全面贯彻党的教育方针，落实立德树人根本任务，深入实施国家教育数字化战略，坚持育人为本、素养为先、应用导向、智能向善，充分发挥人工智能赋能教育变革的引擎作用，推动智能技术与教育全要素融合、全过程贯通、全场景覆盖，统筹推进人工智能人才培养和应用创新，协同推进基础环境和创新生态建设，加快构建人机协同、虚实结合、泛在可及的智慧教育新形态，促进规模教育与个性培养、知识传授与能力培养、技术应用与人文关怀相统一，着力培育胜任智能时代的高素质人才，为加快建设教育强国、办好人民满意的教育提供强大动能。</w:t>
      </w:r>
    </w:p>
    <w:p w14:paraId="0BDA020A">
      <w:pPr>
        <w:spacing w:line="60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到2030年，人工智能与教育深度融合格局基本形成，构建起纵向贯通、横向联通的人工智能全学段教育和全社会通识教育体系，人工智能人才培养规模与质量显著提升，形成全民人工智能素养培育长效机制。教育教学模式、科研范式、治理模式实现系统性变革，教育服务供给能力和现代化水平大幅增强，基础支撑环境更加集约高效，创新生态体系更加开放协同，智能技术应用更加普惠、安全、高效，形成一批高价值、可推广、可复制的应用场景，智慧教育新形态基本形成、全球影响力进入前列。</w:t>
      </w:r>
    </w:p>
    <w:p w14:paraId="16DB5DA9">
      <w:pPr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推动人工智能人才培养与素养提升</w:t>
      </w:r>
    </w:p>
    <w:p w14:paraId="58ADDCD6">
      <w:pPr>
        <w:numPr>
          <w:ilvl w:val="0"/>
          <w:numId w:val="0"/>
        </w:num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（一）加快普及中小学生的人工智能教育。</w:t>
      </w:r>
      <w:r>
        <w:rPr>
          <w:rFonts w:hint="eastAsia" w:ascii="Times New Roman" w:hAnsi="Times New Roman" w:eastAsia="仿宋_GB2312"/>
          <w:sz w:val="32"/>
          <w:szCs w:val="32"/>
        </w:rPr>
        <w:t>持续完善《中小学人工智能通识教育指南》，开齐开足开好人工智能相关课程。推动人工智能教育全面纳入地方课程体系，指导各地研制人工智能课程指南，明确各学段课程目标、内容与课时要求。鼓励开展人工智能跨学科教学，推动人工智能教育融入课后服务、研学实践等环节。坚持科技教育与人文教育相结合，注重学生的启智、心灵的培养，引导学生科学认识、合理利用智能技术，提升学生智能素养，激发学生好奇心，培养创新思维，提高认知思考和解决复杂问题的能力。建强中小学人工智能教育基地，支持农村、边远地区学校利用国家平台开好人工智能课程。</w:t>
      </w:r>
    </w:p>
    <w:p w14:paraId="6372CF24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（二）培育面向智能时代的高层次人才。</w:t>
      </w:r>
      <w:r>
        <w:rPr>
          <w:rFonts w:hint="eastAsia" w:ascii="Times New Roman" w:hAnsi="Times New Roman" w:eastAsia="仿宋_GB2312"/>
          <w:sz w:val="32"/>
          <w:szCs w:val="32"/>
        </w:rPr>
        <w:t>推动人工智能成为高校公共基础课，按学科专业分类编写课程教材，推动全体学生掌握人工智能知识。根据人工智能技术特点，打造“短实新”的前沿创新课程。优化传统学科专业人才培养方案，指导高校开设人工智能交叉融合课程，丰富跨学科、跨专业课程群，培养复合型交叉人才。根据产业结构智能升级优化调整学科专业设置，新设一批适应新技术、新产业、新业态的学科专业。整合高水平研究型大学、科技领军企业、国家实验室等力量，深化学科交叉、产教融合、科教融汇，探索人工智能拔尖创新人才培养新模式。</w:t>
      </w:r>
    </w:p>
    <w:p w14:paraId="1AD42E23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（三）推动职业教育传统专业的升级转型。</w:t>
      </w:r>
      <w:r>
        <w:rPr>
          <w:rFonts w:hint="eastAsia" w:ascii="Times New Roman" w:hAnsi="Times New Roman" w:eastAsia="仿宋_GB2312"/>
          <w:sz w:val="32"/>
          <w:szCs w:val="32"/>
        </w:rPr>
        <w:t>及时研判人工智能对职业教育的结构性影响，调整优化技能型人才培养要求，推动传统专业智能化升级，科学设计“人工智能+”专业体系、课程体系、教学体系，提高专业设置对产业发展的适配性。对接国家人工智能产业发展需求，立足培育新兴产业和未来产业，实施人工智能领域高技能人才集群培养计划，联合行业企业制定人才培养方案，更新课程体系，共建实习、实训、实践基地，有针对性培养新兴岗位高技能人才。</w:t>
      </w:r>
    </w:p>
    <w:p w14:paraId="224EC37A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（四）促进全社会的人工智能通识教育。</w:t>
      </w:r>
      <w:r>
        <w:rPr>
          <w:rFonts w:hint="eastAsia" w:ascii="Times New Roman" w:hAnsi="Times New Roman" w:eastAsia="仿宋_GB2312"/>
          <w:sz w:val="32"/>
          <w:szCs w:val="32"/>
        </w:rPr>
        <w:t>持续丰富国家平台的数字资源，汇聚开发人工智能通识教育资源，鼓励高校和企业开发人工智能专业特色资源，面向广大师生和社会学习者开放。将人工智能纳入高校学生就业能力提升“双千”计划，鼓励开设相关微专业课程和微证书项目，助力高水平就业。发挥高校和开放大学体系作用，面向重点群体定制开发人工智能素养和技能课程，提供个性职后培训服务，推动有关学习成果纳入学分银行。优化调整学历继续教育专业布局和人才培养方案，支持自学考试开设人工智能相关专业。</w:t>
      </w:r>
    </w:p>
    <w:p w14:paraId="588BC104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（五）提高广大教师的智能素养与技能。</w:t>
      </w:r>
      <w:r>
        <w:rPr>
          <w:rFonts w:hint="eastAsia" w:ascii="Times New Roman" w:hAnsi="Times New Roman" w:eastAsia="仿宋_GB2312"/>
          <w:sz w:val="32"/>
          <w:szCs w:val="32"/>
        </w:rPr>
        <w:t>制定教师智能素养标准，明确教师应具备的人工智能素养能力。根据不同岗位需求分层分类开展人工智能素养培训，通过多种方式实现全覆盖。构建情境化测评系统，开发智能化、梯度化的测评工具，鼓励各地各校开展规模化的教师素养测评，根据测评结果针对性地提升教师素养和能力。推动师范生培养改革，将人工智能等前沿技术知识纳入课程体系，更新知识体系。将人工智能纳入教师资格考试和认证内容，在国家及省级教学成果奖中设立智能教育项目，激发人工智能创新的内生动力。</w:t>
      </w:r>
    </w:p>
    <w:p w14:paraId="6BA8A7C7"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三、促进人工智能与教育深度广泛融合</w:t>
      </w:r>
    </w:p>
    <w:p w14:paraId="2EFD0110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（六）利用人工智能赋能学生学习。</w:t>
      </w:r>
      <w:r>
        <w:rPr>
          <w:rFonts w:hint="eastAsia" w:ascii="Times New Roman" w:hAnsi="Times New Roman" w:eastAsia="仿宋_GB2312"/>
          <w:sz w:val="32"/>
          <w:szCs w:val="32"/>
        </w:rPr>
        <w:t>立足促进德智体美劳全面发展，研发智能学伴。研发思政大模型，丰富智能思政应用，建立全息、全域、全员、全时的沉浸式思政育人模式。建设学生数字档案，根据学生能力、特质和爱好，动态优化学习路径，更好满足多元化学习需求。探索人工智能赋能体育、美育、劳动教育、科技教育等有效路径，帮助学生个性成长。推动智能技术在中西部地区、乡村学校的应用，帮助学生开展自主学习，推广国家通用语言文字，促进教育优质均衡。研发应用智能辅具，支撑特殊教育学生的监测、评估和康复训练，促进教育全纳包容发展。</w:t>
      </w:r>
    </w:p>
    <w:p w14:paraId="4AD63B2F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（七）利用人工智能赋能教师教学。</w:t>
      </w:r>
      <w:r>
        <w:rPr>
          <w:rFonts w:hint="eastAsia" w:ascii="Times New Roman" w:hAnsi="Times New Roman" w:eastAsia="仿宋_GB2312"/>
          <w:sz w:val="32"/>
          <w:szCs w:val="32"/>
        </w:rPr>
        <w:t>围绕课前、课中、课后教育教学全过程，加强智能教学系统应用，为教师减负增效。支撑教师课前备课，辅助教师开展学情分析，支撑多模态教学资源自动生成、方案优化和教学过程模拟，实现人机共创备课。探索人机协同教学模式，利用智能系统参与教学环节，开发强交互虚拟仿真实验，提升沉浸式体验和个性评价反馈，提升课堂育人质效。辅助教师开展作业管理，推进智能批改、答疑和辅导。利用智能技术分析课堂教学行为，开展人工智能循证教研实践，构建适应智能时代的教师研修模式，帮助教师提升教学质量。</w:t>
      </w:r>
    </w:p>
    <w:p w14:paraId="044E3491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（八）利用人工智能赋能教育治理。</w:t>
      </w:r>
      <w:r>
        <w:rPr>
          <w:rFonts w:hint="eastAsia" w:ascii="Times New Roman" w:hAnsi="Times New Roman" w:eastAsia="仿宋_GB2312"/>
          <w:sz w:val="32"/>
          <w:szCs w:val="32"/>
        </w:rPr>
        <w:t>围绕便捷服务、精准管理、科学决策，打造教育智能大脑。建设国家人才供需对接大数据平台，开展人才需求调查、预测分析和评价反馈。利用智能技术科学预测人口变化和产业发展趋势，健全资源统筹调配和学科专业设置调整机制。推动智能命题、智能组卷、智能监考、智能评卷等应用。研发教育评价智能化工具，探索开展学生学习全过程纵向评价、德智体美劳全要素横向评价。打造智能化就业服务系统，实现大学生就业岗位智能推荐，促进高校毕业生高质量充分就业。高效分析海量多模态监测数据，提升校园安全风险实时预警、应急处置能力，支撑平安校园建设。</w:t>
      </w:r>
    </w:p>
    <w:p w14:paraId="1F9114BA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（九）利用人工智能赋能科学研究。</w:t>
      </w:r>
      <w:r>
        <w:rPr>
          <w:rFonts w:hint="eastAsia" w:ascii="Times New Roman" w:hAnsi="Times New Roman" w:eastAsia="仿宋_GB2312"/>
          <w:sz w:val="32"/>
          <w:szCs w:val="32"/>
        </w:rPr>
        <w:t>围绕自然科学、工程科学和哲学社会科学，探索以揭榜挂帅等形式，建设并推广科学智能体和智能工具，帮助科研人员发现、总结规律，解决复杂问题。建设人工智能学科交叉创新平台，强化人工智能牵引的多学科融合发展，拓展知识边界，加快探索智能时代科研新范式。推动基础科研平台和科技基础设施智能升级，建设智能实验室和自主实验集群，实现自动化设计实验方案、开展实验操作、分析实验数据，提高科研创新效率。深化高校科技成果交易平台“科交汇”智能体应用，实现企业需求智能感知和转化成果智能匹配，培育新质生产力。</w:t>
      </w:r>
    </w:p>
    <w:p w14:paraId="7F02A9A7"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四、建强“人工智能+教育”基础环境</w:t>
      </w:r>
    </w:p>
    <w:p w14:paraId="223C428E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（十）构筑集约高效的智能教育基座。</w:t>
      </w:r>
      <w:r>
        <w:rPr>
          <w:rFonts w:hint="eastAsia" w:ascii="Times New Roman" w:hAnsi="Times New Roman" w:eastAsia="仿宋_GB2312"/>
          <w:sz w:val="32"/>
          <w:szCs w:val="32"/>
        </w:rPr>
        <w:t>建设国家教育智能算力服务平台，有效汇聚算力、数据、模型、工具等人工智能创新资源。用好教育和科研计算机网，连接国家算力训练场、国家算力枢纽、企业和高校，整合各方智算、通算和超算资源。鼓励省级教育行政部门利用全国一体化算力网，为人工智能应用提供算力保障。围绕思政教育、学科知识、科学研究等方向，组织开发国家基础语料库，鼓励地方和高校开发领域特色数据集。建强国家教育大数据中心，建立跨部门、跨地域、跨平台的数据网络，探索基于平台、期刊、终端等数据动态更新机制。国家开展有组织攻关，分教育阶段研发人工智能教育大模型，强化价值对齐、逻辑推理、安全伦理等能力，为地方和高校应用提供支撑，有效避免资源浪费和低水平重复建设。</w:t>
      </w:r>
    </w:p>
    <w:p w14:paraId="0377A916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（十一）培育共创共享的智能应用体系。</w:t>
      </w:r>
      <w:r>
        <w:rPr>
          <w:rFonts w:hint="eastAsia" w:ascii="Times New Roman" w:hAnsi="Times New Roman" w:eastAsia="仿宋_GB2312"/>
          <w:sz w:val="32"/>
          <w:szCs w:val="32"/>
        </w:rPr>
        <w:t>深入推动国家平台智能升级，实现资源个性推送、服务智能办理、数据智能分析。建立高等学校和中小学的协同贯通机制，共同研制人工智能课程，共同开发人工智能应用。布局建设国家人工智能（教育）应用中试基地，提供学生知识、能力和素质图谱等公共产品，降低应用创新门槛，培育应用服务体系，加快智能产品与服务落地。建设人工智能学习社区，汇聚开源课程，提供创新资源，开展成果认证，鼓励师生参与开源生态建设，实现语料共建、模型共测、应用共创，持续培育优质的教育智能应用。建立智能应用能力评估体系，遴选面向不同教育角色、不同应用场景的教育智能体，择优上线国家平台。组织人工智能先导应用场景项目，打造一批高价值的标杆应用。</w:t>
      </w:r>
    </w:p>
    <w:p w14:paraId="4DA4A6F7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（十二）打造虚实融合的未来教育空间。</w:t>
      </w:r>
      <w:r>
        <w:rPr>
          <w:rFonts w:hint="eastAsia" w:ascii="Times New Roman" w:hAnsi="Times New Roman" w:eastAsia="仿宋_GB2312"/>
          <w:sz w:val="32"/>
          <w:szCs w:val="32"/>
        </w:rPr>
        <w:t>打造未来课堂、未来学校、未来学习中心和未来实训中心，打通人工智能应用“最后一公里”。在重点学科领域布局教学和实践能力中心，打造精品人工智能交叉课程和实践项目，支撑学科智能升级。试点研发数字教材，推出新一代智慧慕课，深化虚拟仿真实验建设，丰富数字教育资源形态，构建沉浸式的教学空间，构建人机协同的教学新模式。推动智能终端应用，通过大数据分析构建学生用户画像，以学生为中心配置学习资源，支撑规模教育下的个性学习。整合教育大模型和智能体工具，打造一批主题式学习场景，推动项目式、探究式、场景式育人，引导学生学会思考，培养胜任智能时代的能力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4D50542E"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五、优化“人工智能+教育”发展生态</w:t>
      </w:r>
    </w:p>
    <w:p w14:paraId="4CBAB6B9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（十三）开展“人工智能+教育”的研究创新。</w:t>
      </w:r>
      <w:r>
        <w:rPr>
          <w:rFonts w:hint="eastAsia" w:ascii="Times New Roman" w:hAnsi="Times New Roman" w:eastAsia="仿宋_GB2312"/>
          <w:sz w:val="32"/>
          <w:szCs w:val="32"/>
        </w:rPr>
        <w:t>推动人工智能与认知科学、脑科学、心理学、教育学等多学科领域交叉，创新教育研究范式，深化对教育规律、认知发展等理解。持续开展人工智能社会实验，深化人工智能伦理研究，科学评估技术对教育的影响。构建“人工智能+教育”的技术创新体系，建强联合攻关平台和教育实践研究基地，组织开展共性关键技术攻关，鼓励高校、企业、科研院所参与“人工智能+教育”生态建设，引导国有和社会的长期资本、耐心资本、战略资本投入教育科技创新，推动更多先进技术服务于人的发展。</w:t>
      </w:r>
    </w:p>
    <w:p w14:paraId="7072EF1F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（十四）加强“人工智能+教育”的条件保障。</w:t>
      </w:r>
      <w:r>
        <w:rPr>
          <w:rFonts w:hint="eastAsia" w:ascii="Times New Roman" w:hAnsi="Times New Roman" w:eastAsia="仿宋_GB2312"/>
          <w:sz w:val="32"/>
          <w:szCs w:val="32"/>
        </w:rPr>
        <w:t>加强人工智能教育培训、应用创新、技术研发、安全保障等方面的制度，构建适应人工智能发展要求的教育政策制度体系。鼓励教育机构、企业、科研单位聚焦教育行业人工智能应用、大模型评测、数据安全等研制一批标准规范。创新人才队伍建设模式，引进高校、企业人才参与开发建设，培育一支复合型、高水平的工程技术团队。支持鼓励通过购买服务等方式创新投入模式，构建政府主导，高校、社会、企业共同参与的多元投入机制。</w:t>
      </w:r>
    </w:p>
    <w:p w14:paraId="5E78AA8F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（十五）促进“人工智能+教育”国际合作。</w:t>
      </w:r>
      <w:r>
        <w:rPr>
          <w:rFonts w:hint="eastAsia" w:ascii="Times New Roman" w:hAnsi="Times New Roman" w:eastAsia="仿宋_GB2312"/>
          <w:sz w:val="32"/>
          <w:szCs w:val="32"/>
        </w:rPr>
        <w:t>持续举办世界数字教育大会、世界慕课与在线教育大会、国际人工智能与教育会议等国际会议，建强人工智能开放联盟、世界数字教育联盟、世界慕课与在线教育联盟，打造系列国际交流旗舰平台。充分发挥双边及多边机制，分国别、分区域推进教育国际合作，共享多语种人工智能课程、教育大模型和智能体，加强优质教育资源和经验互学互鉴。积极参加全球教育治理，依托联合国教科文组织等重要国际组织平台，深度参与人工智能教育领域国际议程、规则和标准制定，不断提升我国数字教育国际影响力。</w:t>
      </w:r>
    </w:p>
    <w:p w14:paraId="087022A8">
      <w:pPr>
        <w:spacing w:line="600" w:lineRule="exact"/>
        <w:ind w:firstLine="643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（十六）筑牢“人工智能+教育”安全屏障。</w:t>
      </w:r>
      <w:r>
        <w:rPr>
          <w:rFonts w:hint="eastAsia" w:ascii="Times New Roman" w:hAnsi="Times New Roman" w:eastAsia="仿宋_GB2312"/>
          <w:sz w:val="32"/>
          <w:szCs w:val="32"/>
        </w:rPr>
        <w:t>建立人工智能教育应用的安全防护体系，分类分级确定安全防护标准。深化建立教育大模型安全审核机制，确保生成内容积极健康、向上向善。建立人工智能教育应用的安全测评标准，一体保障模型算法、数据资源、基础设施、应用系统等安全，确保技术应用符合教育规律。推动软件正版化，保障人工智能应用安全、可信、可控。强化人工智能进校园管理，明确智能产品、终端的应用规范。健全人工智能评估备案、技术监测、风险预警、应急响应机制，有效防范利用人工智能伪造诈骗、学术造假、应试内卷、泄露隐私等问题。</w:t>
      </w:r>
    </w:p>
    <w:p w14:paraId="77CD5ECD"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六、组织实施</w:t>
      </w:r>
    </w:p>
    <w:p w14:paraId="12B75DD9">
      <w:pPr>
        <w:spacing w:line="60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坚持把党的领导贯彻到“人工智能+教育”全过程，强化组织领导、统筹谋划、指导监督和条件保障。教育部门负责制定行动计划，统筹推进实施；发展改革部门加强统筹协调，支持符合要求的项目建设；科技部门负责加强重点领域科研布局；工业和信息化、数据管理部门负责提供政策支持，促进开源开放和数据互联互通。各地各校要将“人工智能+教育”纳入发展规划，制定符合自身实际的实施方案，积极开展应用示范。加强智库与咨询机构建设，加强政策战略研究、一线工作指导和建言献策。组织开展专题培训，提升管理干部的人工智能领导力。深入实施人工智能赋能教育行动试点，构建基于数据的常态化应用监督机制，及时总结宣传优秀经验做法。</w:t>
      </w:r>
    </w:p>
    <w:p w14:paraId="46116C9B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0BFF47"/>
    <w:multiLevelType w:val="singleLevel"/>
    <w:tmpl w:val="D00BFF4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63952"/>
    <w:rsid w:val="03B60333"/>
    <w:rsid w:val="0C394FD5"/>
    <w:rsid w:val="39A202F4"/>
    <w:rsid w:val="4AA5645F"/>
    <w:rsid w:val="4AC00F3F"/>
    <w:rsid w:val="5CD23F71"/>
    <w:rsid w:val="6A733148"/>
    <w:rsid w:val="71C63952"/>
    <w:rsid w:val="78F7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5148</Words>
  <Characters>5163</Characters>
  <Lines>0</Lines>
  <Paragraphs>0</Paragraphs>
  <TotalTime>18</TotalTime>
  <ScaleCrop>false</ScaleCrop>
  <LinksUpToDate>false</LinksUpToDate>
  <CharactersWithSpaces>5175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2026-04-23T01:37:00Z</dcterms:created>
  <dc:creator>WPS_1633422257</dc:creator>
  <cp:lastModifiedBy>柯宇婷</cp:lastModifiedBy>
  <dcterms:modified xsi:type="dcterms:W3CDTF">2026-04-27T01:35:25Z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5B2F9347BBD343C299359980B23E16B2_11</vt:lpwstr>
  </property>
  <property fmtid="{D5CDD505-2E9C-101B-9397-08002B2CF9AE}" pid="4" name="KSOTemplateDocerSaveRecord">
    <vt:lpwstr>eyJoZGlkIjoiNDgxN2Q4OGI4N2MzZjMwNzQxZTM5NDNkOWRjYjc1ZDgiLCJ1c2VySWQiOiI0NTA0NjU5NjYifQ==</vt:lpwstr>
  </property>
</Properties>
</file>