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2F92F">
      <w:pPr>
        <w:widowControl/>
        <w:spacing w:line="570" w:lineRule="exact"/>
        <w:jc w:val="center"/>
        <w:rPr>
          <w:rFonts w:hint="eastAsia" w:ascii="Times New Roman" w:hAnsi="Times New Roman" w:eastAsia="方正小标宋简体" w:cs="Times New Roman"/>
          <w:b w:val="0"/>
          <w:bCs w:val="0"/>
          <w:kern w:val="2"/>
          <w:sz w:val="44"/>
          <w:szCs w:val="44"/>
          <w:shd w:val="clear" w:color="auto" w:fill="FFFFFF"/>
          <w:lang w:val="en-US" w:eastAsia="zh-CN" w:bidi="ar-SA"/>
        </w:rPr>
      </w:pPr>
      <w:bookmarkStart w:id="0" w:name="_GoBack"/>
      <w:r>
        <w:rPr>
          <w:rFonts w:hint="eastAsia" w:ascii="Times New Roman" w:hAnsi="Times New Roman" w:eastAsia="方正小标宋简体" w:cs="Times New Roman"/>
          <w:b w:val="0"/>
          <w:bCs w:val="0"/>
          <w:kern w:val="2"/>
          <w:sz w:val="44"/>
          <w:szCs w:val="44"/>
          <w:shd w:val="clear" w:color="auto" w:fill="FFFFFF"/>
          <w:lang w:val="en-US" w:eastAsia="zh-CN" w:bidi="ar-SA"/>
        </w:rPr>
        <w:t>福建省教育厅关于推进“人工智能+教育”十条措施的通知</w:t>
      </w:r>
      <w:bookmarkEnd w:id="0"/>
    </w:p>
    <w:p w14:paraId="73981066">
      <w:pPr>
        <w:widowControl/>
        <w:spacing w:line="570" w:lineRule="exact"/>
        <w:ind w:firstLine="2880" w:firstLineChars="900"/>
        <w:jc w:val="both"/>
        <w:rPr>
          <w:rFonts w:hint="eastAsia" w:ascii="楷体" w:hAnsi="楷体" w:eastAsia="楷体" w:cs="楷体"/>
          <w:kern w:val="0"/>
          <w:sz w:val="32"/>
          <w:szCs w:val="32"/>
          <w:lang w:val="en-US" w:eastAsia="zh-CN" w:bidi="ar-SA"/>
        </w:rPr>
      </w:pPr>
      <w:r>
        <w:rPr>
          <w:rFonts w:hint="eastAsia" w:ascii="楷体" w:hAnsi="楷体" w:eastAsia="楷体" w:cs="楷体"/>
          <w:kern w:val="0"/>
          <w:sz w:val="32"/>
          <w:szCs w:val="32"/>
          <w:lang w:val="en-US" w:eastAsia="zh-CN" w:bidi="ar-SA"/>
        </w:rPr>
        <w:t>闽教科〔2025〕7号</w:t>
      </w:r>
    </w:p>
    <w:p w14:paraId="42EE2D0A">
      <w:pPr>
        <w:widowControl/>
        <w:spacing w:line="570" w:lineRule="exact"/>
        <w:jc w:val="center"/>
        <w:rPr>
          <w:rFonts w:hint="eastAsia" w:ascii="楷体" w:hAnsi="楷体" w:eastAsia="楷体" w:cs="楷体"/>
          <w:kern w:val="0"/>
          <w:sz w:val="32"/>
          <w:szCs w:val="32"/>
          <w:lang w:val="en-US" w:eastAsia="zh-CN" w:bidi="ar-SA"/>
        </w:rPr>
      </w:pPr>
    </w:p>
    <w:p w14:paraId="22E7EF46">
      <w:pPr>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各设区市教育局、平潭综合实验区社会事业局，各高等学校，省属中小学、中职学校，厅直属单位：</w:t>
      </w:r>
    </w:p>
    <w:p w14:paraId="14228AC1">
      <w:p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为深入贯彻《教育强国建设规划纲要（2024-2035年》和三年行动计划，落实国家教育数字化战略行动，推动人工智能与教育的深度融合，加快构建福建特色的“人工智能+教育”新生态，制定以下措施。福建省教育厅关于推进“人工智能+教育”十条措施的通知</w:t>
      </w:r>
    </w:p>
    <w:p w14:paraId="0E9EDAAF">
      <w:pPr>
        <w:numPr>
          <w:ilvl w:val="0"/>
          <w:numId w:val="1"/>
        </w:numPr>
        <w:ind w:firstLine="312" w:firstLineChars="100"/>
        <w:rPr>
          <w:rFonts w:hint="eastAsia" w:ascii="黑体" w:hAnsi="黑体" w:eastAsia="黑体" w:cs="黑体"/>
          <w:spacing w:val="-4"/>
          <w:sz w:val="32"/>
          <w:szCs w:val="32"/>
        </w:rPr>
      </w:pPr>
      <w:r>
        <w:rPr>
          <w:rFonts w:hint="eastAsia" w:ascii="黑体" w:hAnsi="黑体" w:eastAsia="黑体" w:cs="黑体"/>
          <w:spacing w:val="-4"/>
          <w:sz w:val="32"/>
          <w:szCs w:val="32"/>
        </w:rPr>
        <w:t>推进人工智能全学段教育。</w:t>
      </w:r>
    </w:p>
    <w:p w14:paraId="3BCBBA24">
      <w:pPr>
        <w:numPr>
          <w:ilvl w:val="0"/>
          <w:numId w:val="0"/>
        </w:num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普及中小学人工智能教育，落实《中小学人工智能通识教育指南（2025年版）》，鼓励将人工智能教育纳入校本课程，提升人工智能教育在课后服务中的占比。加强高校人工智能教育，面向全体学生开设人工智能通识课程，面向人工智能相关专业学生开好人工智能核心课程和前沿课程。积极探索人工智能赋能终身教育，通过多元化人工智能课程与实践活动，激发老年人学习热情和创新能力。鼓励高校建立面向青少年和社会公众的人工智能科普公共服务平台。推动各级各类学校融合科研机构、社会组织等校外资源，广泛开展形式多样的人工智能素养提升活动。到2027年，全省中小学（含中职）基本普及人工智能教育，高校全面开设人工智能通识课程。</w:t>
      </w:r>
    </w:p>
    <w:p w14:paraId="6A2FD25C">
      <w:pPr>
        <w:rPr>
          <w:rFonts w:hint="eastAsia" w:ascii="Times New Roman" w:hAnsi="Times New Roman" w:eastAsia="仿宋_GB2312"/>
          <w:spacing w:val="-4"/>
          <w:sz w:val="32"/>
          <w:szCs w:val="32"/>
        </w:rPr>
      </w:pPr>
    </w:p>
    <w:p w14:paraId="2F17EEB3">
      <w:pPr>
        <w:numPr>
          <w:ilvl w:val="0"/>
          <w:numId w:val="0"/>
        </w:numPr>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lang w:val="en-US" w:eastAsia="zh-CN"/>
        </w:rPr>
        <w:t>二、</w:t>
      </w:r>
      <w:r>
        <w:rPr>
          <w:rFonts w:hint="eastAsia" w:ascii="黑体" w:hAnsi="黑体" w:eastAsia="黑体" w:cs="黑体"/>
          <w:spacing w:val="-4"/>
          <w:sz w:val="32"/>
          <w:szCs w:val="32"/>
        </w:rPr>
        <w:t>丰富人工智能教学资源。</w:t>
      </w:r>
    </w:p>
    <w:p w14:paraId="54CEC6D0">
      <w:pPr>
        <w:numPr>
          <w:ilvl w:val="0"/>
          <w:numId w:val="0"/>
        </w:num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在福建智慧教育平台开设人工智能教育专栏，广泛汇聚在线课程、教学视频等优质教育资源，鼓励各地各校研发人工智能教育教学资源，实现优质资源共建共享。实施人工智能精品课程建设计划，构建覆盖人工智能通识课、专业核心课、特色交叉课的优质课程资源体系。支持学校打造智能化实践教学平台，建设高水平虚拟仿真实验室和实训基地，开发智能实验系统。到2027年，建设100门“人工智能+”精品课程、10个人工智能虚拟仿真实验室和实训基地。</w:t>
      </w:r>
    </w:p>
    <w:p w14:paraId="5A77B2F9">
      <w:pPr>
        <w:numPr>
          <w:ilvl w:val="0"/>
          <w:numId w:val="0"/>
        </w:numPr>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三、深化人工智能助教助学。</w:t>
      </w:r>
    </w:p>
    <w:p w14:paraId="662D0663">
      <w:pPr>
        <w:numPr>
          <w:ilvl w:val="0"/>
          <w:numId w:val="0"/>
        </w:num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推广人工智能在教师备课、课堂教学、教学与学情分析、作业管理、答疑辅导等教学全场景应用，引导教师合理利用智能辅助教学工具，开展备课、 作业批阅、答疑辅导等基础性教学工作。鼓励学校建设以学生为中心的智能化学习平台，开发智能学伴与智能助学系统，为学生提供个性化学习路径推荐、智能选课、智能答疑、线上学习、人机交流互动等服务。推动人工智能教育大模型应用，积极参与生成式人工智能大模型建设。支持各地各校探索基于大数据和人工智能的学生综合素质评价，构建学生成长数字档案，促进学生个性化发展。到2027年，遴选推广100个“人工智能+教育”应用场景典型案例。</w:t>
      </w:r>
    </w:p>
    <w:p w14:paraId="1555C4C8">
      <w:pPr>
        <w:rPr>
          <w:rFonts w:hint="eastAsia" w:ascii="Times New Roman" w:hAnsi="Times New Roman" w:eastAsia="仿宋_GB2312"/>
          <w:spacing w:val="-4"/>
          <w:sz w:val="32"/>
          <w:szCs w:val="32"/>
        </w:rPr>
      </w:pPr>
    </w:p>
    <w:p w14:paraId="7623DD06">
      <w:pPr>
        <w:numPr>
          <w:ilvl w:val="0"/>
          <w:numId w:val="2"/>
        </w:numPr>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加强人工智能人才培养。</w:t>
      </w:r>
    </w:p>
    <w:p w14:paraId="00FE86BF">
      <w:pPr>
        <w:numPr>
          <w:ilvl w:val="0"/>
          <w:numId w:val="0"/>
        </w:num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优先布局人工智能相关学科专业，支持高校培育智能科学与技术一级学科博士硕士学位授权点，鼓励高校在电子信息、计算机科学与技术等相关学科设置人工智能学科方向，引导增设人工智能、人工智能技术应用、智能机器人技术等相关专业。加强人工智能与相关学科专业融合发展，鼓励高校建设“人工智能+X”“X+人工智能”新兴交叉学科专业，开设人工智能微专业。创新人工智能人才培养模式，推进学生入企实践和邀请企业工程师入校授课同步开展，深化校企协同育人。支持有条件的高校建设人工智能学院、人工智能产业学院、未来技术学院和卓越工程师学院，鼓励高校开展本研贯通培养和“人工智能+其它专业”的双学士学位复合型人才培养项目。到2027年，建设一批适应人工智能产业发展需求的学科专业。</w:t>
      </w:r>
    </w:p>
    <w:p w14:paraId="06B6C299">
      <w:pPr>
        <w:ind w:firstLine="624" w:firstLineChars="200"/>
        <w:rPr>
          <w:rFonts w:hint="eastAsia" w:ascii="Times New Roman" w:hAnsi="Times New Roman" w:eastAsia="仿宋_GB2312"/>
          <w:spacing w:val="-4"/>
          <w:sz w:val="32"/>
          <w:szCs w:val="32"/>
        </w:rPr>
      </w:pPr>
      <w:r>
        <w:rPr>
          <w:rFonts w:hint="eastAsia" w:ascii="黑体" w:hAnsi="黑体" w:eastAsia="黑体" w:cs="黑体"/>
          <w:spacing w:val="-4"/>
          <w:sz w:val="32"/>
          <w:szCs w:val="32"/>
        </w:rPr>
        <w:t>五、推动人工智能科技创新。</w:t>
      </w:r>
      <w:r>
        <w:rPr>
          <w:rFonts w:hint="eastAsia" w:ascii="Times New Roman" w:hAnsi="Times New Roman" w:eastAsia="仿宋_GB2312"/>
          <w:spacing w:val="-4"/>
          <w:sz w:val="32"/>
          <w:szCs w:val="32"/>
        </w:rPr>
        <w:t>支持高校整合资源，围绕人工智能领域基础理论、 核心关键共性技术和公共支撑平台等方面需求，建设人工智能相关重点实验室、工程研究中心等科技创新平台。推动高校完善人工智能科研实验环境，创新科研组织模式，将人工智能深度融入科学研究，推动科研范式变革。鼓励高校建设人工智能研究中心，聚焦类脑智能、自主智能、混合智能、群体智能等领域，组建高水平研究团队，加强人工智能领域基础理论研究，推动原创性突破。在省技术创新重点攻关及产业化项目、中青年教师教育科研项目中单列人工智能专项。到2027年，建设10个人工智能科研创新平台，立项10个人工智能技术创新重点攻关及产业化项目、50个人工智能中青年教师教育科研项目。</w:t>
      </w:r>
    </w:p>
    <w:p w14:paraId="7BFDB498">
      <w:pPr>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六、建强人工智能教师队伍。</w:t>
      </w:r>
    </w:p>
    <w:p w14:paraId="1DC364D0">
      <w:p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鼓励各地各校通过公开招聘、人才引进、转岗培育等方式充实人工智能教育教师，积极引进高校、科研院所和高科技企业的专业人才作为人工智能兼职教师。强化师范生人工智能素养培育，广泛开展人工智能普及教育和应用培训，重点培育一批人工智能骨干教师，全面提升教师数字素养和人工智能应用能力。开展教育管理者人工智能素养培训，提升对人工智能赋能教育改革的战略规划与执行能力。到2027年，建设一批省级人工智能助推教师队伍建设试点单位，实现各级各类学校教师人工智能普及教育和应用培训全覆盖。</w:t>
      </w:r>
    </w:p>
    <w:p w14:paraId="52EDDE43">
      <w:pPr>
        <w:numPr>
          <w:ilvl w:val="0"/>
          <w:numId w:val="3"/>
        </w:numPr>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开展人工智能教育试点。</w:t>
      </w:r>
    </w:p>
    <w:p w14:paraId="097AA425">
      <w:pPr>
        <w:numPr>
          <w:ilvl w:val="0"/>
          <w:numId w:val="0"/>
        </w:num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在人才聚集、产业聚集、资本聚集，且教育数字化基础条件较好的地区和学校率先布局人工智能应用试点，为人工智能助力教育变革探索能落地、可复制、有效果的先进经验。建好6个教育部中小学人工智能教育基地，推进省级人工智能教育实验区、试点学校建设，探索人工智能教育的新理念、新模式和新方案，形成可推广的优秀案例和先进经验，推动中小学人工智能教育深入开展。扩大省级智慧教育试点区、智慧校园试点校范围，以点带面引领各地各校教育数字化转型，形成具有区域特色的智慧教育新途径和新模式。到2027年，建成一批智慧教育区域、智慧校园。</w:t>
      </w:r>
    </w:p>
    <w:p w14:paraId="3CBAD72B">
      <w:pPr>
        <w:numPr>
          <w:ilvl w:val="0"/>
          <w:numId w:val="3"/>
        </w:numPr>
        <w:ind w:left="0" w:leftChars="0"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探索人工智能教育国际交流。</w:t>
      </w:r>
    </w:p>
    <w:p w14:paraId="14A88ACA">
      <w:pPr>
        <w:numPr>
          <w:ilvl w:val="0"/>
          <w:numId w:val="0"/>
        </w:num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鼓励学校举办具有国际影响力的人工智能教育学术交流活动，加强与有关国际组织、境外教育机构开展人工智能领域师生互访、学术研讨、课程共建等多形式合作交流。探索开展人工智能教育国际合作研究，共同打造共建共研、开放包容的学术环境。积极引进海外优质教育资源，拓展高校人工智能专业中外合作办学，探索人工智能人才培养和教育教学新模式。通过国际产学研用合作，强化人工智能人才链、产业链融合，提升人工智能人才培养水平。鼓励引进国际知名人工智能专家学者。</w:t>
      </w:r>
    </w:p>
    <w:p w14:paraId="6F0791D7">
      <w:pPr>
        <w:numPr>
          <w:ilvl w:val="0"/>
          <w:numId w:val="3"/>
        </w:numPr>
        <w:ind w:left="0" w:leftChars="0" w:firstLine="624" w:firstLineChars="200"/>
        <w:rPr>
          <w:rFonts w:hint="eastAsia" w:ascii="Times New Roman" w:hAnsi="Times New Roman" w:eastAsia="仿宋_GB2312"/>
          <w:spacing w:val="-4"/>
          <w:sz w:val="32"/>
          <w:szCs w:val="32"/>
        </w:rPr>
      </w:pPr>
      <w:r>
        <w:rPr>
          <w:rFonts w:hint="eastAsia" w:ascii="黑体" w:hAnsi="黑体" w:eastAsia="黑体" w:cs="黑体"/>
          <w:spacing w:val="-4"/>
          <w:sz w:val="32"/>
          <w:szCs w:val="32"/>
        </w:rPr>
        <w:t>夯实人工智能教育基础环境。</w:t>
      </w:r>
    </w:p>
    <w:p w14:paraId="48932BCC">
      <w:pPr>
        <w:numPr>
          <w:ilvl w:val="0"/>
          <w:numId w:val="0"/>
        </w:num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推进福建教育专网建设，建成教育专网骨干网和各市（县、区）节点，制定教育专网安全管理规范、接入标准，构建专网安全体系和管理体系，推动市（县、区）教育城域网及校园网顺利接入，实现全省各级教育云、智算中心等设施高速互联。探索建立全省教育算力服务共享机制，推动算力资源的统一调度和供需高效匹配，支撑区域、学校开展面向不同教育场景的智能应用创新。鼓励学校升级数字化教学环境和设施设备，为学生提供人工智能体验、学习、探究、实践的新型学习空间。到2027年，建成福建教育专网省级骨干网，推动各市（县、区）、各高等学校按照标准建设本地区教育城域网、校园网建设并接入。</w:t>
      </w:r>
    </w:p>
    <w:p w14:paraId="4C858937">
      <w:pPr>
        <w:ind w:firstLine="624" w:firstLineChars="200"/>
        <w:rPr>
          <w:rFonts w:hint="eastAsia" w:ascii="黑体" w:hAnsi="黑体" w:eastAsia="黑体" w:cs="黑体"/>
          <w:spacing w:val="-4"/>
          <w:sz w:val="32"/>
          <w:szCs w:val="32"/>
        </w:rPr>
      </w:pPr>
      <w:r>
        <w:rPr>
          <w:rFonts w:hint="eastAsia" w:ascii="黑体" w:hAnsi="黑体" w:eastAsia="黑体" w:cs="黑体"/>
          <w:spacing w:val="-4"/>
          <w:sz w:val="32"/>
          <w:szCs w:val="32"/>
        </w:rPr>
        <w:t>十、筑牢人工智能教育安全防线。</w:t>
      </w:r>
    </w:p>
    <w:p w14:paraId="7B5ACF00">
      <w:pPr>
        <w:ind w:firstLine="624" w:firstLineChars="200"/>
        <w:rPr>
          <w:rFonts w:hint="eastAsia" w:ascii="Times New Roman" w:hAnsi="Times New Roman" w:eastAsia="仿宋_GB2312"/>
          <w:spacing w:val="-4"/>
          <w:sz w:val="32"/>
          <w:szCs w:val="32"/>
        </w:rPr>
      </w:pPr>
      <w:r>
        <w:rPr>
          <w:rFonts w:hint="eastAsia" w:ascii="Times New Roman" w:hAnsi="Times New Roman" w:eastAsia="仿宋_GB2312"/>
          <w:spacing w:val="-4"/>
          <w:sz w:val="32"/>
          <w:szCs w:val="32"/>
        </w:rPr>
        <w:t>全面落实网络数据安全责任制相关要求，建立健全安全工作机制。推进数据分类分级、加密、脱敏、权限管控、态势感知等重点能力建设，加强人工智能语料数据全生命周期安全防护和个人信息隐私保护。健全人工智能服务备案和进校园审核机制，强化模型安全、算法安全和内容安全管控。提高师生人工智能伦理意识，将数据隐私、算法偏见、知识产权、社会伦理等方面内容纳入人工智能普及教育。</w:t>
      </w:r>
    </w:p>
    <w:p w14:paraId="69B7934F">
      <w:pPr>
        <w:rPr>
          <w:rFonts w:hint="eastAsia" w:ascii="Times New Roman" w:hAnsi="Times New Roman" w:eastAsia="仿宋_GB2312"/>
          <w:spacing w:val="-4"/>
          <w:sz w:val="32"/>
          <w:szCs w:val="32"/>
        </w:rPr>
      </w:pPr>
    </w:p>
    <w:p w14:paraId="30BBD6B7">
      <w:pPr>
        <w:jc w:val="center"/>
        <w:rPr>
          <w:rFonts w:hint="eastAsia" w:ascii="Times New Roman" w:hAnsi="Times New Roman" w:eastAsia="仿宋_GB2312"/>
          <w:spacing w:val="-4"/>
          <w:sz w:val="32"/>
          <w:szCs w:val="32"/>
          <w:lang w:val="en-US" w:eastAsia="zh-CN"/>
        </w:rPr>
      </w:pPr>
      <w:r>
        <w:rPr>
          <w:rFonts w:hint="eastAsia" w:ascii="Times New Roman" w:hAnsi="Times New Roman" w:eastAsia="仿宋_GB2312"/>
          <w:spacing w:val="-4"/>
          <w:sz w:val="32"/>
          <w:szCs w:val="32"/>
          <w:lang w:val="en-US" w:eastAsia="zh-CN"/>
        </w:rPr>
        <w:t xml:space="preserve">                                       </w:t>
      </w:r>
    </w:p>
    <w:p w14:paraId="6AFCEA18">
      <w:pPr>
        <w:jc w:val="center"/>
        <w:rPr>
          <w:rFonts w:hint="default" w:ascii="Times New Roman" w:hAnsi="Times New Roman" w:eastAsia="仿宋_GB2312"/>
          <w:spacing w:val="-4"/>
          <w:sz w:val="32"/>
          <w:szCs w:val="32"/>
          <w:lang w:val="en-US" w:eastAsia="zh-CN"/>
        </w:rPr>
      </w:pPr>
      <w:r>
        <w:rPr>
          <w:rFonts w:hint="eastAsia" w:ascii="Times New Roman" w:hAnsi="Times New Roman" w:eastAsia="仿宋_GB2312"/>
          <w:spacing w:val="-4"/>
          <w:sz w:val="32"/>
          <w:szCs w:val="32"/>
          <w:lang w:val="en-US" w:eastAsia="zh-CN"/>
        </w:rPr>
        <w:t xml:space="preserve">                                       </w:t>
      </w:r>
      <w:r>
        <w:rPr>
          <w:rFonts w:hint="eastAsia" w:ascii="Times New Roman" w:hAnsi="Times New Roman" w:eastAsia="仿宋_GB2312"/>
          <w:spacing w:val="-4"/>
          <w:sz w:val="32"/>
          <w:szCs w:val="32"/>
        </w:rPr>
        <w:t>福建省教育厅</w:t>
      </w:r>
      <w:r>
        <w:rPr>
          <w:rFonts w:hint="eastAsia" w:ascii="Times New Roman" w:hAnsi="Times New Roman" w:eastAsia="仿宋_GB2312"/>
          <w:spacing w:val="-4"/>
          <w:sz w:val="32"/>
          <w:szCs w:val="32"/>
          <w:lang w:val="en-US" w:eastAsia="zh-CN"/>
        </w:rPr>
        <w:t xml:space="preserve">       </w:t>
      </w:r>
    </w:p>
    <w:p w14:paraId="3CF18B30">
      <w:pPr>
        <w:jc w:val="center"/>
        <w:rPr>
          <w:rFonts w:hint="default" w:ascii="Times New Roman" w:hAnsi="Times New Roman" w:eastAsia="仿宋_GB2312"/>
          <w:spacing w:val="-4"/>
          <w:sz w:val="32"/>
          <w:szCs w:val="32"/>
          <w:lang w:val="en-US" w:eastAsia="zh-CN"/>
        </w:rPr>
      </w:pPr>
      <w:r>
        <w:rPr>
          <w:rFonts w:hint="eastAsia" w:ascii="Times New Roman" w:hAnsi="Times New Roman" w:eastAsia="仿宋_GB2312"/>
          <w:spacing w:val="-4"/>
          <w:sz w:val="32"/>
          <w:szCs w:val="32"/>
          <w:lang w:val="en-US" w:eastAsia="zh-CN"/>
        </w:rPr>
        <w:t xml:space="preserve">                                       </w:t>
      </w:r>
      <w:r>
        <w:rPr>
          <w:rFonts w:hint="eastAsia" w:ascii="Times New Roman" w:hAnsi="Times New Roman" w:eastAsia="仿宋_GB2312"/>
          <w:spacing w:val="-4"/>
          <w:sz w:val="32"/>
          <w:szCs w:val="32"/>
        </w:rPr>
        <w:t>2025年6月16日</w:t>
      </w:r>
      <w:r>
        <w:rPr>
          <w:rFonts w:hint="eastAsia" w:ascii="Times New Roman" w:hAnsi="Times New Roman" w:eastAsia="仿宋_GB2312"/>
          <w:spacing w:val="-4"/>
          <w:sz w:val="32"/>
          <w:szCs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17733F"/>
    <w:multiLevelType w:val="singleLevel"/>
    <w:tmpl w:val="B617733F"/>
    <w:lvl w:ilvl="0" w:tentative="0">
      <w:start w:val="1"/>
      <w:numFmt w:val="chineseCounting"/>
      <w:suff w:val="nothing"/>
      <w:lvlText w:val="%1、"/>
      <w:lvlJc w:val="left"/>
      <w:rPr>
        <w:rFonts w:hint="eastAsia"/>
      </w:rPr>
    </w:lvl>
  </w:abstractNum>
  <w:abstractNum w:abstractNumId="1">
    <w:nsid w:val="F30399D3"/>
    <w:multiLevelType w:val="singleLevel"/>
    <w:tmpl w:val="F30399D3"/>
    <w:lvl w:ilvl="0" w:tentative="0">
      <w:start w:val="7"/>
      <w:numFmt w:val="chineseCounting"/>
      <w:suff w:val="nothing"/>
      <w:lvlText w:val="%1、"/>
      <w:lvlJc w:val="left"/>
      <w:rPr>
        <w:rFonts w:hint="eastAsia"/>
      </w:rPr>
    </w:lvl>
  </w:abstractNum>
  <w:abstractNum w:abstractNumId="2">
    <w:nsid w:val="F7CCAA8A"/>
    <w:multiLevelType w:val="singleLevel"/>
    <w:tmpl w:val="F7CCAA8A"/>
    <w:lvl w:ilvl="0" w:tentative="0">
      <w:start w:val="4"/>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8908FE"/>
    <w:rsid w:val="26A80418"/>
    <w:rsid w:val="3A2160C5"/>
    <w:rsid w:val="56DE14F6"/>
    <w:rsid w:val="6A8908FE"/>
    <w:rsid w:val="751828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2839</Words>
  <Characters>2891</Characters>
  <Lines>0</Lines>
  <Paragraphs>0</Paragraphs>
  <TotalTime>0</TotalTime>
  <ScaleCrop>false</ScaleCrop>
  <LinksUpToDate>false</LinksUpToDate>
  <CharactersWithSpaces>3023</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2026-04-23T03:57:00Z</dcterms:created>
  <dc:creator>WPS_1633422257</dc:creator>
  <cp:lastModifiedBy>柯宇婷</cp:lastModifiedBy>
  <dcterms:modified xsi:type="dcterms:W3CDTF">2026-04-27T01:32:28Z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FC2970AF751E4AFF9A6B4AB4852CB65E_11</vt:lpwstr>
  </property>
  <property fmtid="{D5CDD505-2E9C-101B-9397-08002B2CF9AE}" pid="4" name="KSOTemplateDocerSaveRecord">
    <vt:lpwstr>eyJoZGlkIjoiNDgxN2Q4OGI4N2MzZjMwNzQxZTM5NDNkOWRjYjc1ZDgiLCJ1c2VySWQiOiI0NTA0NjU5NjYifQ==</vt:lpwstr>
  </property>
</Properties>
</file>